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156" w:afterLines="50"/>
        <w:jc w:val="center"/>
        <w:rPr>
          <w:rFonts w:eastAsia="华文中宋"/>
          <w:b/>
          <w:sz w:val="30"/>
          <w:szCs w:val="30"/>
          <w:highlight w:val="none"/>
        </w:rPr>
      </w:pPr>
      <w:r>
        <w:rPr>
          <w:rFonts w:eastAsia="华文中宋"/>
          <w:b/>
          <w:sz w:val="30"/>
          <w:szCs w:val="30"/>
          <w:highlight w:val="none"/>
        </w:rPr>
        <w:t>南京中医药大学202</w:t>
      </w:r>
      <w:r>
        <w:rPr>
          <w:rFonts w:hint="eastAsia" w:eastAsia="华文中宋"/>
          <w:b/>
          <w:sz w:val="30"/>
          <w:szCs w:val="30"/>
          <w:highlight w:val="none"/>
          <w:lang w:val="en-US" w:eastAsia="zh-CN"/>
        </w:rPr>
        <w:t>4</w:t>
      </w:r>
      <w:r>
        <w:rPr>
          <w:rFonts w:eastAsia="华文中宋"/>
          <w:b/>
          <w:sz w:val="30"/>
          <w:szCs w:val="30"/>
          <w:highlight w:val="none"/>
        </w:rPr>
        <w:t>年度专业技术职务评审资格审查表</w:t>
      </w:r>
    </w:p>
    <w:p>
      <w:pPr>
        <w:adjustRightInd w:val="0"/>
        <w:snapToGrid w:val="0"/>
        <w:spacing w:after="156" w:afterLines="50"/>
        <w:jc w:val="center"/>
        <w:rPr>
          <w:rFonts w:ascii="黑体" w:eastAsia="黑体"/>
          <w:b/>
          <w:highlight w:val="none"/>
        </w:rPr>
      </w:pPr>
      <w:r>
        <w:rPr>
          <w:rFonts w:hint="eastAsia" w:ascii="黑体" w:eastAsia="黑体"/>
          <w:b/>
          <w:sz w:val="30"/>
          <w:szCs w:val="30"/>
          <w:highlight w:val="none"/>
        </w:rPr>
        <w:t>（★填表前请详细阅读本表的填写说明★）</w:t>
      </w:r>
    </w:p>
    <w:tbl>
      <w:tblPr>
        <w:tblStyle w:val="6"/>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9"/>
        <w:gridCol w:w="1943"/>
        <w:gridCol w:w="1537"/>
        <w:gridCol w:w="1832"/>
        <w:gridCol w:w="1855"/>
        <w:gridCol w:w="2102"/>
        <w:gridCol w:w="1494"/>
        <w:gridCol w:w="2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trPr>
        <w:tc>
          <w:tcPr>
            <w:tcW w:w="544" w:type="pct"/>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姓名</w:t>
            </w:r>
          </w:p>
        </w:tc>
        <w:tc>
          <w:tcPr>
            <w:tcW w:w="678" w:type="pct"/>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王曼</w:t>
            </w:r>
          </w:p>
        </w:tc>
        <w:tc>
          <w:tcPr>
            <w:tcW w:w="536" w:type="pct"/>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所在单位（部门）</w:t>
            </w:r>
          </w:p>
        </w:tc>
        <w:tc>
          <w:tcPr>
            <w:tcW w:w="638" w:type="pct"/>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马克思主义学院·</w:t>
            </w:r>
          </w:p>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医学人文学院</w:t>
            </w:r>
          </w:p>
        </w:tc>
        <w:tc>
          <w:tcPr>
            <w:tcW w:w="647" w:type="pct"/>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性别</w:t>
            </w:r>
          </w:p>
        </w:tc>
        <w:tc>
          <w:tcPr>
            <w:tcW w:w="733" w:type="pct"/>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女</w:t>
            </w:r>
          </w:p>
        </w:tc>
        <w:tc>
          <w:tcPr>
            <w:tcW w:w="521" w:type="pct"/>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出生年月</w:t>
            </w:r>
          </w:p>
        </w:tc>
        <w:tc>
          <w:tcPr>
            <w:tcW w:w="700" w:type="pct"/>
            <w:vAlign w:val="center"/>
          </w:tcPr>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1974.12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44" w:type="pct"/>
            <w:tcBorders>
              <w:bottom w:val="single" w:color="auto" w:sz="6" w:space="0"/>
              <w:right w:val="single" w:color="auto" w:sz="6" w:space="0"/>
            </w:tcBorders>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进校时间</w:t>
            </w:r>
          </w:p>
        </w:tc>
        <w:tc>
          <w:tcPr>
            <w:tcW w:w="678" w:type="pct"/>
            <w:tcBorders>
              <w:left w:val="single" w:color="auto" w:sz="6" w:space="0"/>
              <w:bottom w:val="single" w:color="auto" w:sz="6" w:space="0"/>
              <w:right w:val="single" w:color="auto" w:sz="6" w:space="0"/>
            </w:tcBorders>
            <w:vAlign w:val="center"/>
          </w:tcPr>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2003.07</w:t>
            </w:r>
          </w:p>
        </w:tc>
        <w:tc>
          <w:tcPr>
            <w:tcW w:w="536" w:type="pct"/>
            <w:tcBorders>
              <w:left w:val="single" w:color="auto" w:sz="6" w:space="0"/>
              <w:bottom w:val="single" w:color="auto" w:sz="6" w:space="0"/>
              <w:right w:val="single" w:color="auto" w:sz="6" w:space="0"/>
            </w:tcBorders>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最高学历及</w:t>
            </w:r>
          </w:p>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638" w:type="pct"/>
            <w:tcBorders>
              <w:left w:val="single" w:color="auto" w:sz="6" w:space="0"/>
              <w:bottom w:val="single" w:color="auto" w:sz="6" w:space="0"/>
            </w:tcBorders>
            <w:vAlign w:val="center"/>
          </w:tcPr>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博士研究生，2015.06</w:t>
            </w:r>
          </w:p>
        </w:tc>
        <w:tc>
          <w:tcPr>
            <w:tcW w:w="647" w:type="pct"/>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最高学位及</w:t>
            </w:r>
          </w:p>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733" w:type="pct"/>
            <w:vAlign w:val="center"/>
          </w:tcPr>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博士，2015.06</w:t>
            </w:r>
          </w:p>
        </w:tc>
        <w:tc>
          <w:tcPr>
            <w:tcW w:w="521" w:type="pct"/>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教师资格证书</w:t>
            </w:r>
          </w:p>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700" w:type="pct"/>
            <w:vAlign w:val="center"/>
          </w:tcPr>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2004.03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544" w:type="pct"/>
            <w:tcBorders>
              <w:top w:val="single" w:color="auto" w:sz="6" w:space="0"/>
              <w:bottom w:val="single" w:color="auto" w:sz="4" w:space="0"/>
              <w:right w:val="single" w:color="auto" w:sz="6" w:space="0"/>
            </w:tcBorders>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现任专业技术</w:t>
            </w:r>
          </w:p>
          <w:p>
            <w:pPr>
              <w:adjustRightInd w:val="0"/>
              <w:snapToGrid w:val="0"/>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rPr>
              <w:t>职务及取得时间</w:t>
            </w:r>
            <w:r>
              <w:rPr>
                <w:rFonts w:hint="eastAsia" w:ascii="楷体" w:hAnsi="楷体" w:eastAsia="楷体"/>
                <w:b/>
                <w:bCs/>
                <w:sz w:val="18"/>
                <w:szCs w:val="18"/>
                <w:highlight w:val="none"/>
                <w:vertAlign w:val="superscript"/>
                <w:lang w:val="en-US" w:eastAsia="zh-CN"/>
              </w:rPr>
              <w:t>1</w:t>
            </w:r>
          </w:p>
        </w:tc>
        <w:tc>
          <w:tcPr>
            <w:tcW w:w="678" w:type="pct"/>
            <w:tcBorders>
              <w:top w:val="single" w:color="auto" w:sz="6" w:space="0"/>
              <w:left w:val="single" w:color="auto" w:sz="6" w:space="0"/>
              <w:bottom w:val="single" w:color="auto" w:sz="4" w:space="0"/>
              <w:right w:val="single" w:color="auto" w:sz="6" w:space="0"/>
            </w:tcBorders>
            <w:vAlign w:val="center"/>
          </w:tcPr>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副教授，2011.08</w:t>
            </w:r>
          </w:p>
        </w:tc>
        <w:tc>
          <w:tcPr>
            <w:tcW w:w="536" w:type="pct"/>
            <w:tcBorders>
              <w:top w:val="single" w:color="auto" w:sz="6" w:space="0"/>
              <w:left w:val="single" w:color="auto" w:sz="6" w:space="0"/>
              <w:bottom w:val="single" w:color="auto" w:sz="4" w:space="0"/>
              <w:right w:val="single" w:color="auto" w:sz="6" w:space="0"/>
            </w:tcBorders>
            <w:vAlign w:val="center"/>
          </w:tcPr>
          <w:p>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8"/>
                <w:szCs w:val="18"/>
                <w:highlight w:val="none"/>
              </w:rPr>
              <w:t>拟申报系列</w:t>
            </w:r>
            <w:r>
              <w:rPr>
                <w:rFonts w:hint="eastAsia" w:ascii="楷体" w:hAnsi="楷体" w:eastAsia="楷体"/>
                <w:b/>
                <w:bCs/>
                <w:sz w:val="18"/>
                <w:szCs w:val="18"/>
                <w:highlight w:val="none"/>
                <w:vertAlign w:val="superscript"/>
                <w:lang w:val="en-US" w:eastAsia="zh-CN"/>
              </w:rPr>
              <w:t>2</w:t>
            </w:r>
          </w:p>
        </w:tc>
        <w:tc>
          <w:tcPr>
            <w:tcW w:w="638" w:type="pct"/>
            <w:tcBorders>
              <w:top w:val="single" w:color="auto" w:sz="6" w:space="0"/>
              <w:left w:val="single" w:color="auto" w:sz="6" w:space="0"/>
              <w:bottom w:val="single" w:color="auto" w:sz="4" w:space="0"/>
            </w:tcBorders>
            <w:vAlign w:val="center"/>
          </w:tcPr>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教师系列</w:t>
            </w:r>
          </w:p>
        </w:tc>
        <w:tc>
          <w:tcPr>
            <w:tcW w:w="647" w:type="pct"/>
            <w:tcBorders>
              <w:bottom w:val="single" w:color="auto" w:sz="4" w:space="0"/>
            </w:tcBorders>
            <w:vAlign w:val="center"/>
          </w:tcPr>
          <w:p>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8"/>
                <w:szCs w:val="18"/>
                <w:highlight w:val="none"/>
              </w:rPr>
              <w:t>拟申报类型</w:t>
            </w:r>
            <w:r>
              <w:rPr>
                <w:rFonts w:hint="eastAsia" w:ascii="楷体" w:hAnsi="楷体" w:eastAsia="楷体"/>
                <w:b/>
                <w:bCs/>
                <w:sz w:val="18"/>
                <w:szCs w:val="18"/>
                <w:highlight w:val="none"/>
                <w:vertAlign w:val="superscript"/>
                <w:lang w:val="en-US" w:eastAsia="zh-CN"/>
              </w:rPr>
              <w:t>3</w:t>
            </w:r>
          </w:p>
        </w:tc>
        <w:tc>
          <w:tcPr>
            <w:tcW w:w="733" w:type="pct"/>
            <w:tcBorders>
              <w:bottom w:val="single" w:color="auto" w:sz="4" w:space="0"/>
            </w:tcBorders>
            <w:vAlign w:val="center"/>
          </w:tcPr>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教学为主型</w:t>
            </w:r>
          </w:p>
        </w:tc>
        <w:tc>
          <w:tcPr>
            <w:tcW w:w="521" w:type="pct"/>
            <w:tcBorders>
              <w:bottom w:val="single" w:color="auto" w:sz="4" w:space="0"/>
            </w:tcBorders>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拟申报学科</w:t>
            </w:r>
          </w:p>
        </w:tc>
        <w:tc>
          <w:tcPr>
            <w:tcW w:w="700" w:type="pct"/>
            <w:tcBorders>
              <w:bottom w:val="single" w:color="auto" w:sz="4" w:space="0"/>
            </w:tcBorders>
            <w:vAlign w:val="center"/>
          </w:tcPr>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马克思主义理论（马列公共课）</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44" w:type="pct"/>
            <w:tcBorders>
              <w:top w:val="single" w:color="auto" w:sz="4" w:space="0"/>
              <w:bottom w:val="single" w:color="auto" w:sz="4" w:space="0"/>
              <w:right w:val="single" w:color="auto" w:sz="4" w:space="0"/>
            </w:tcBorders>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拟申报</w:t>
            </w:r>
          </w:p>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专业技术职务</w:t>
            </w:r>
          </w:p>
        </w:tc>
        <w:tc>
          <w:tcPr>
            <w:tcW w:w="1853" w:type="pct"/>
            <w:gridSpan w:val="3"/>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教授</w:t>
            </w:r>
          </w:p>
        </w:tc>
        <w:tc>
          <w:tcPr>
            <w:tcW w:w="647" w:type="pc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是否为公共课教师</w:t>
            </w:r>
            <w:r>
              <w:rPr>
                <w:rFonts w:hint="eastAsia" w:ascii="楷体" w:hAnsi="楷体" w:eastAsia="楷体"/>
                <w:b/>
                <w:bCs/>
                <w:sz w:val="18"/>
                <w:szCs w:val="18"/>
                <w:highlight w:val="none"/>
                <w:vertAlign w:val="superscript"/>
                <w:lang w:val="en-US" w:eastAsia="zh-CN"/>
              </w:rPr>
              <w:t>4</w:t>
            </w:r>
          </w:p>
        </w:tc>
        <w:tc>
          <w:tcPr>
            <w:tcW w:w="1954" w:type="pct"/>
            <w:gridSpan w:val="3"/>
            <w:tcBorders>
              <w:top w:val="single" w:color="auto" w:sz="4" w:space="0"/>
              <w:left w:val="single" w:color="auto" w:sz="4" w:space="0"/>
              <w:bottom w:val="single" w:color="auto" w:sz="4" w:space="0"/>
            </w:tcBorders>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2" w:hRule="atLeast"/>
        </w:trPr>
        <w:tc>
          <w:tcPr>
            <w:tcW w:w="5000" w:type="pct"/>
            <w:gridSpan w:val="8"/>
            <w:tcBorders>
              <w:top w:val="single" w:color="auto" w:sz="4" w:space="0"/>
              <w:left w:val="nil"/>
              <w:bottom w:val="nil"/>
              <w:right w:val="nil"/>
            </w:tcBorders>
            <w:vAlign w:val="center"/>
          </w:tcPr>
          <w:p>
            <w:pPr>
              <w:spacing w:after="0" w:line="280" w:lineRule="exact"/>
              <w:rPr>
                <w:rFonts w:ascii="黑体" w:hAnsi="黑体" w:eastAsia="黑体"/>
                <w:sz w:val="18"/>
                <w:szCs w:val="21"/>
                <w:highlight w:val="none"/>
              </w:rPr>
            </w:pPr>
            <w:r>
              <w:rPr>
                <w:rFonts w:hint="eastAsia" w:ascii="黑体" w:hAnsi="黑体" w:eastAsia="黑体"/>
                <w:spacing w:val="-11"/>
                <w:highlight w:val="none"/>
              </w:rPr>
              <w:t>★重要说明</w:t>
            </w:r>
            <w:r>
              <w:rPr>
                <w:rFonts w:hint="eastAsia" w:ascii="黑体" w:hAnsi="黑体" w:eastAsia="黑体"/>
                <w:spacing w:val="-11"/>
                <w:highlight w:val="none"/>
                <w:lang w:eastAsia="zh-CN"/>
              </w:rPr>
              <w:t>：</w:t>
            </w:r>
            <w:r>
              <w:rPr>
                <w:rFonts w:hint="eastAsia" w:ascii="黑体" w:hAnsi="黑体" w:eastAsia="黑体"/>
                <w:sz w:val="18"/>
                <w:szCs w:val="21"/>
                <w:highlight w:val="none"/>
                <w:lang w:val="en-US" w:eastAsia="zh-CN"/>
              </w:rPr>
              <w:t>1.</w:t>
            </w:r>
            <w:r>
              <w:rPr>
                <w:rFonts w:hint="eastAsia" w:ascii="黑体" w:hAnsi="黑体" w:eastAsia="黑体"/>
                <w:sz w:val="18"/>
                <w:szCs w:val="21"/>
                <w:highlight w:val="none"/>
              </w:rPr>
              <w:t>附属医院临床带教</w:t>
            </w:r>
            <w:r>
              <w:rPr>
                <w:rFonts w:hint="eastAsia" w:ascii="黑体" w:hAnsi="黑体" w:eastAsia="黑体"/>
                <w:sz w:val="18"/>
                <w:szCs w:val="21"/>
                <w:highlight w:val="none"/>
                <w:lang w:val="en-US" w:eastAsia="zh-CN"/>
              </w:rPr>
              <w:t>医师需分别填写医疗卫生及教师2个专业技术职务及取得时间</w:t>
            </w:r>
            <w:r>
              <w:rPr>
                <w:rFonts w:ascii="黑体" w:hAnsi="黑体" w:eastAsia="黑体"/>
                <w:sz w:val="18"/>
                <w:szCs w:val="21"/>
                <w:highlight w:val="none"/>
              </w:rPr>
              <w:t>；</w:t>
            </w:r>
          </w:p>
          <w:p>
            <w:pPr>
              <w:spacing w:after="0" w:line="280" w:lineRule="exact"/>
              <w:ind w:firstLine="1080" w:firstLineChars="600"/>
              <w:rPr>
                <w:rFonts w:ascii="黑体" w:hAnsi="黑体" w:eastAsia="黑体"/>
                <w:sz w:val="18"/>
                <w:szCs w:val="21"/>
                <w:highlight w:val="none"/>
              </w:rPr>
            </w:pPr>
            <w:r>
              <w:rPr>
                <w:rFonts w:hint="eastAsia" w:ascii="黑体" w:hAnsi="黑体" w:eastAsia="黑体"/>
                <w:sz w:val="18"/>
                <w:szCs w:val="21"/>
                <w:highlight w:val="none"/>
                <w:lang w:val="en-US" w:eastAsia="zh-CN"/>
              </w:rPr>
              <w:t>2.</w:t>
            </w:r>
            <w:r>
              <w:rPr>
                <w:rFonts w:ascii="黑体" w:hAnsi="黑体" w:eastAsia="黑体"/>
                <w:sz w:val="18"/>
                <w:szCs w:val="21"/>
                <w:highlight w:val="none"/>
              </w:rPr>
              <w:t>拟申报系列是指教师系列、实验系列、学生思政系列、教育管理系列</w:t>
            </w:r>
            <w:r>
              <w:rPr>
                <w:rFonts w:hint="eastAsia" w:ascii="黑体" w:hAnsi="黑体" w:eastAsia="黑体"/>
                <w:sz w:val="18"/>
                <w:szCs w:val="21"/>
                <w:highlight w:val="none"/>
                <w:lang w:eastAsia="zh-CN"/>
              </w:rPr>
              <w:t>；</w:t>
            </w:r>
            <w:r>
              <w:rPr>
                <w:rFonts w:hint="eastAsia" w:ascii="黑体" w:hAnsi="黑体" w:eastAsia="黑体"/>
                <w:sz w:val="18"/>
                <w:szCs w:val="21"/>
                <w:highlight w:val="none"/>
                <w:lang w:val="en-US" w:eastAsia="zh-CN"/>
              </w:rPr>
              <w:t>以下业绩成果</w:t>
            </w:r>
            <w:r>
              <w:rPr>
                <w:rFonts w:ascii="黑体" w:hAnsi="黑体" w:eastAsia="黑体"/>
                <w:sz w:val="18"/>
                <w:szCs w:val="21"/>
                <w:highlight w:val="none"/>
              </w:rPr>
              <w:t>须根据拟申报系列的要求填写；</w:t>
            </w:r>
          </w:p>
          <w:p>
            <w:pPr>
              <w:spacing w:after="0" w:line="280" w:lineRule="exact"/>
              <w:ind w:firstLine="1080" w:firstLineChars="600"/>
              <w:rPr>
                <w:rFonts w:ascii="黑体" w:hAnsi="黑体" w:eastAsia="黑体"/>
                <w:sz w:val="18"/>
                <w:szCs w:val="21"/>
                <w:highlight w:val="none"/>
              </w:rPr>
            </w:pPr>
            <w:r>
              <w:rPr>
                <w:rFonts w:hint="eastAsia" w:ascii="黑体" w:hAnsi="黑体" w:eastAsia="黑体"/>
                <w:sz w:val="18"/>
                <w:szCs w:val="21"/>
                <w:highlight w:val="none"/>
                <w:lang w:val="en-US" w:eastAsia="zh-CN"/>
              </w:rPr>
              <w:t>3</w:t>
            </w:r>
            <w:r>
              <w:rPr>
                <w:rFonts w:ascii="黑体" w:hAnsi="黑体" w:eastAsia="黑体"/>
                <w:sz w:val="18"/>
                <w:szCs w:val="21"/>
                <w:highlight w:val="none"/>
              </w:rPr>
              <w:t>拟申报类型是指教学为主型、教学科研并重型、科研为主型、临床为主型以及青年拔尖型；</w:t>
            </w:r>
          </w:p>
          <w:p>
            <w:pPr>
              <w:spacing w:after="0" w:line="280" w:lineRule="exact"/>
              <w:ind w:firstLine="1080" w:firstLineChars="600"/>
              <w:rPr>
                <w:rFonts w:ascii="KaiTi_GB2312" w:eastAsia="KaiTi_GB2312"/>
                <w:sz w:val="18"/>
                <w:szCs w:val="18"/>
                <w:highlight w:val="none"/>
              </w:rPr>
            </w:pPr>
            <w:r>
              <w:rPr>
                <w:rFonts w:hint="eastAsia" w:ascii="黑体" w:hAnsi="黑体" w:eastAsia="黑体"/>
                <w:sz w:val="18"/>
                <w:szCs w:val="21"/>
                <w:highlight w:val="none"/>
                <w:lang w:val="en-US" w:eastAsia="zh-CN"/>
              </w:rPr>
              <w:t>4.公共课教师特指我校思想政治理论课、大学外语公共课、计算机基础课、数学课、物理课和体育课教师。</w:t>
            </w:r>
          </w:p>
        </w:tc>
      </w:tr>
    </w:tbl>
    <w:p>
      <w:pPr>
        <w:spacing w:after="0" w:line="20" w:lineRule="exact"/>
        <w:rPr>
          <w:sz w:val="10"/>
          <w:szCs w:val="10"/>
          <w:highlight w:val="none"/>
        </w:rPr>
      </w:pPr>
    </w:p>
    <w:tbl>
      <w:tblPr>
        <w:tblStyle w:val="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2"/>
        <w:gridCol w:w="808"/>
        <w:gridCol w:w="1169"/>
        <w:gridCol w:w="1493"/>
        <w:gridCol w:w="1169"/>
        <w:gridCol w:w="2020"/>
        <w:gridCol w:w="2031"/>
        <w:gridCol w:w="63"/>
        <w:gridCol w:w="1037"/>
        <w:gridCol w:w="834"/>
        <w:gridCol w:w="719"/>
        <w:gridCol w:w="1785"/>
        <w:gridCol w:w="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cantSplit/>
          <w:trHeight w:val="480" w:hRule="atLeast"/>
        </w:trPr>
        <w:tc>
          <w:tcPr>
            <w:tcW w:w="413" w:type="pct"/>
            <w:vMerge w:val="restart"/>
            <w:tcBorders>
              <w:top w:val="single" w:color="auto" w:sz="6" w:space="0"/>
              <w:right w:val="single" w:color="auto" w:sz="6" w:space="0"/>
            </w:tcBorders>
            <w:textDirection w:val="tbLrV"/>
            <w:vAlign w:val="center"/>
          </w:tcPr>
          <w:p>
            <w:pPr>
              <w:spacing w:after="0" w:line="240" w:lineRule="auto"/>
              <w:ind w:left="115" w:right="115"/>
              <w:jc w:val="center"/>
              <w:rPr>
                <w:rFonts w:ascii="KaiTi_GB2312" w:eastAsia="KaiTi_GB2312"/>
                <w:sz w:val="28"/>
                <w:szCs w:val="28"/>
                <w:highlight w:val="none"/>
              </w:rPr>
            </w:pPr>
            <w:r>
              <w:rPr>
                <w:rFonts w:hint="eastAsia" w:ascii="KaiTi_GB2312" w:eastAsia="KaiTi_GB2312"/>
                <w:sz w:val="28"/>
                <w:szCs w:val="28"/>
                <w:highlight w:val="none"/>
              </w:rPr>
              <w:t>教学工作情况（近五年）</w:t>
            </w:r>
          </w:p>
        </w:tc>
        <w:tc>
          <w:tcPr>
            <w:tcW w:w="282"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r>
              <w:rPr>
                <w:rFonts w:hint="eastAsia" w:ascii="KaiTi_GB2312" w:eastAsia="KaiTi_GB2312"/>
                <w:highlight w:val="none"/>
              </w:rPr>
              <w:t>学年</w:t>
            </w:r>
          </w:p>
        </w:tc>
        <w:tc>
          <w:tcPr>
            <w:tcW w:w="408" w:type="pct"/>
            <w:tcBorders>
              <w:top w:val="single" w:color="auto" w:sz="6" w:space="0"/>
              <w:left w:val="single" w:color="auto" w:sz="4" w:space="0"/>
              <w:bottom w:val="single" w:color="auto" w:sz="6" w:space="0"/>
              <w:right w:val="single" w:color="auto" w:sz="6"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个人</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年总课时</w:t>
            </w:r>
          </w:p>
        </w:tc>
        <w:tc>
          <w:tcPr>
            <w:tcW w:w="521" w:type="pct"/>
            <w:tcBorders>
              <w:top w:val="single" w:color="auto" w:sz="6" w:space="0"/>
              <w:left w:val="single" w:color="auto" w:sz="6" w:space="0"/>
              <w:bottom w:val="single" w:color="auto" w:sz="6" w:space="0"/>
              <w:right w:val="single" w:color="auto" w:sz="4"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学期</w:t>
            </w:r>
          </w:p>
        </w:tc>
        <w:tc>
          <w:tcPr>
            <w:tcW w:w="408"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r>
              <w:rPr>
                <w:rFonts w:hint="eastAsia" w:ascii="KaiTi_GB2312" w:eastAsia="KaiTi_GB2312"/>
                <w:highlight w:val="none"/>
              </w:rPr>
              <w:t>教学层次</w:t>
            </w:r>
          </w:p>
        </w:tc>
        <w:tc>
          <w:tcPr>
            <w:tcW w:w="704" w:type="pct"/>
            <w:vAlign w:val="center"/>
          </w:tcPr>
          <w:p>
            <w:pPr>
              <w:spacing w:after="0" w:line="240" w:lineRule="auto"/>
              <w:jc w:val="center"/>
              <w:rPr>
                <w:rFonts w:ascii="KaiTi_GB2312" w:eastAsia="KaiTi_GB2312"/>
                <w:highlight w:val="none"/>
              </w:rPr>
            </w:pPr>
            <w:r>
              <w:rPr>
                <w:rFonts w:hint="eastAsia" w:ascii="KaiTi_GB2312" w:eastAsia="KaiTi_GB2312"/>
                <w:highlight w:val="none"/>
              </w:rPr>
              <w:t>年级、班（次）</w:t>
            </w:r>
          </w:p>
        </w:tc>
        <w:tc>
          <w:tcPr>
            <w:tcW w:w="731" w:type="pct"/>
            <w:gridSpan w:val="2"/>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课程名称</w:t>
            </w:r>
          </w:p>
        </w:tc>
        <w:tc>
          <w:tcPr>
            <w:tcW w:w="362" w:type="pct"/>
            <w:vAlign w:val="center"/>
          </w:tcPr>
          <w:p>
            <w:pPr>
              <w:spacing w:after="0" w:line="240" w:lineRule="auto"/>
              <w:jc w:val="center"/>
              <w:rPr>
                <w:rFonts w:ascii="KaiTi_GB2312" w:eastAsia="KaiTi_GB2312"/>
                <w:highlight w:val="none"/>
              </w:rPr>
            </w:pPr>
            <w:r>
              <w:rPr>
                <w:rFonts w:hint="eastAsia" w:ascii="KaiTi_GB2312" w:eastAsia="KaiTi_GB2312"/>
                <w:highlight w:val="none"/>
              </w:rPr>
              <w:t>课时数</w:t>
            </w:r>
          </w:p>
        </w:tc>
        <w:tc>
          <w:tcPr>
            <w:tcW w:w="542" w:type="pct"/>
            <w:gridSpan w:val="2"/>
            <w:vAlign w:val="center"/>
          </w:tcPr>
          <w:p>
            <w:pPr>
              <w:adjustRightInd w:val="0"/>
              <w:snapToGrid w:val="0"/>
              <w:spacing w:after="0" w:line="240" w:lineRule="auto"/>
              <w:jc w:val="center"/>
              <w:rPr>
                <w:rFonts w:ascii="KaiTi_GB2312" w:eastAsia="KaiTi_GB2312"/>
                <w:sz w:val="20"/>
                <w:szCs w:val="22"/>
                <w:highlight w:val="none"/>
              </w:rPr>
            </w:pPr>
            <w:r>
              <w:rPr>
                <w:rFonts w:hint="eastAsia" w:ascii="KaiTi_GB2312" w:eastAsia="KaiTi_GB2312"/>
                <w:sz w:val="20"/>
                <w:szCs w:val="22"/>
                <w:highlight w:val="none"/>
              </w:rPr>
              <w:t>单位</w:t>
            </w:r>
          </w:p>
          <w:p>
            <w:pPr>
              <w:spacing w:after="0" w:line="240" w:lineRule="auto"/>
              <w:jc w:val="center"/>
              <w:rPr>
                <w:rFonts w:ascii="KaiTi_GB2312" w:eastAsia="KaiTi_GB2312"/>
                <w:highlight w:val="none"/>
              </w:rPr>
            </w:pPr>
            <w:r>
              <w:rPr>
                <w:rFonts w:hint="eastAsia" w:ascii="KaiTi_GB2312" w:eastAsia="KaiTi_GB2312"/>
                <w:sz w:val="20"/>
                <w:szCs w:val="22"/>
                <w:highlight w:val="none"/>
              </w:rPr>
              <w:t>审核签名</w:t>
            </w:r>
          </w:p>
        </w:tc>
        <w:tc>
          <w:tcPr>
            <w:tcW w:w="623" w:type="pct"/>
            <w:vAlign w:val="center"/>
          </w:tcPr>
          <w:p>
            <w:pPr>
              <w:adjustRightInd w:val="0"/>
              <w:snapToGrid w:val="0"/>
              <w:spacing w:after="0" w:line="240" w:lineRule="auto"/>
              <w:jc w:val="center"/>
              <w:rPr>
                <w:rFonts w:ascii="KaiTi_GB2312" w:eastAsia="KaiTi_GB2312"/>
                <w:sz w:val="20"/>
                <w:szCs w:val="22"/>
                <w:highlight w:val="none"/>
              </w:rPr>
            </w:pPr>
            <w:r>
              <w:rPr>
                <w:rFonts w:hint="eastAsia" w:ascii="KaiTi_GB2312" w:eastAsia="KaiTi_GB2312"/>
                <w:sz w:val="20"/>
                <w:szCs w:val="22"/>
                <w:highlight w:val="none"/>
              </w:rPr>
              <w:t>学校</w:t>
            </w:r>
          </w:p>
          <w:p>
            <w:pPr>
              <w:adjustRightInd w:val="0"/>
              <w:snapToGrid w:val="0"/>
              <w:spacing w:after="0" w:line="240" w:lineRule="auto"/>
              <w:jc w:val="center"/>
              <w:rPr>
                <w:rFonts w:ascii="KaiTi_GB2312" w:eastAsia="KaiTi_GB2312"/>
                <w:sz w:val="20"/>
                <w:szCs w:val="22"/>
                <w:highlight w:val="none"/>
              </w:rPr>
            </w:pPr>
            <w:r>
              <w:rPr>
                <w:rFonts w:hint="eastAsia" w:ascii="KaiTi_GB2312" w:eastAsia="KaiTi_GB2312"/>
                <w:sz w:val="20"/>
                <w:szCs w:val="22"/>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cantSplit/>
          <w:trHeight w:val="1734" w:hRule="atLeast"/>
        </w:trPr>
        <w:tc>
          <w:tcPr>
            <w:tcW w:w="413"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hint="eastAsia" w:eastAsia="KaiTi_GB2312"/>
                <w:highlight w:val="none"/>
                <w:lang w:eastAsia="zh-CN"/>
              </w:rPr>
            </w:pPr>
            <w:r>
              <w:rPr>
                <w:rFonts w:hint="eastAsia" w:eastAsia="KaiTi_GB2312"/>
                <w:highlight w:val="none"/>
              </w:rPr>
              <w:t>202</w:t>
            </w:r>
            <w:r>
              <w:rPr>
                <w:rFonts w:hint="eastAsia" w:eastAsia="KaiTi_GB2312"/>
                <w:highlight w:val="none"/>
                <w:lang w:val="en-US" w:eastAsia="zh-CN"/>
              </w:rPr>
              <w:t>3</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ascii="KaiTi_GB2312" w:eastAsia="KaiTi_GB2312"/>
                <w:highlight w:val="none"/>
              </w:rPr>
            </w:pPr>
            <w:r>
              <w:rPr>
                <w:rFonts w:hint="eastAsia" w:ascii="KaiTi_GB2312" w:eastAsia="KaiTi_GB2312"/>
                <w:highlight w:val="none"/>
                <w:lang w:val="en-US" w:eastAsia="zh-CN"/>
              </w:rPr>
              <w:t>455.22</w:t>
            </w:r>
          </w:p>
        </w:tc>
        <w:tc>
          <w:tcPr>
            <w:tcW w:w="521" w:type="pct"/>
            <w:tcBorders>
              <w:top w:val="single" w:color="auto" w:sz="6" w:space="0"/>
              <w:left w:val="single" w:color="auto" w:sz="6" w:space="0"/>
              <w:right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2023-2024-1</w:t>
            </w:r>
          </w:p>
        </w:tc>
        <w:tc>
          <w:tcPr>
            <w:tcW w:w="408"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704" w:type="pct"/>
            <w:tcBorders>
              <w:top w:val="single" w:color="auto" w:sz="6" w:space="0"/>
              <w:left w:val="single" w:color="auto" w:sz="4" w:space="0"/>
              <w:bottom w:val="single" w:color="auto" w:sz="6" w:space="0"/>
            </w:tcBorders>
            <w:vAlign w:val="center"/>
          </w:tcPr>
          <w:p>
            <w:pPr>
              <w:spacing w:after="0" w:line="240" w:lineRule="auto"/>
              <w:jc w:val="center"/>
              <w:rPr>
                <w:rFonts w:hint="eastAsia" w:ascii="KaiTi_GB2312" w:eastAsia="KaiTi_GB2312"/>
                <w:highlight w:val="none"/>
                <w:lang w:eastAsia="zh-CN"/>
              </w:rPr>
            </w:pPr>
            <w:r>
              <w:rPr>
                <w:rFonts w:hint="eastAsia" w:ascii="KaiTi_GB2312" w:eastAsia="KaiTi_GB2312"/>
                <w:highlight w:val="none"/>
                <w:lang w:eastAsia="zh-CN"/>
              </w:rPr>
              <w:t>中医八222、中医八223、中医221、中医222、中医223、中医224、业余本康复治疗学2023</w:t>
            </w:r>
          </w:p>
        </w:tc>
        <w:tc>
          <w:tcPr>
            <w:tcW w:w="731" w:type="pct"/>
            <w:gridSpan w:val="2"/>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中国近现代史纲要、</w:t>
            </w:r>
          </w:p>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形势与政策</w:t>
            </w:r>
          </w:p>
        </w:tc>
        <w:tc>
          <w:tcPr>
            <w:tcW w:w="362" w:type="pct"/>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213.06</w:t>
            </w:r>
          </w:p>
        </w:tc>
        <w:tc>
          <w:tcPr>
            <w:tcW w:w="542"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cantSplit/>
          <w:trHeight w:val="237" w:hRule="atLeast"/>
        </w:trPr>
        <w:tc>
          <w:tcPr>
            <w:tcW w:w="413"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408"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521" w:type="pct"/>
            <w:tcBorders>
              <w:left w:val="single" w:color="auto" w:sz="6" w:space="0"/>
              <w:bottom w:val="single" w:color="auto" w:sz="6" w:space="0"/>
              <w:right w:val="single" w:color="auto" w:sz="6" w:space="0"/>
            </w:tcBorders>
            <w:vAlign w:val="center"/>
          </w:tcPr>
          <w:p>
            <w:pPr>
              <w:spacing w:after="0" w:line="240" w:lineRule="auto"/>
              <w:jc w:val="center"/>
              <w:rPr>
                <w:rFonts w:ascii="KaiTi_GB2312" w:eastAsia="KaiTi_GB2312"/>
                <w:highlight w:val="none"/>
              </w:rPr>
            </w:pPr>
            <w:r>
              <w:rPr>
                <w:rFonts w:hint="eastAsia" w:ascii="KaiTi_GB2312" w:eastAsia="KaiTi_GB2312"/>
                <w:highlight w:val="none"/>
                <w:lang w:val="en-US" w:eastAsia="zh-CN"/>
              </w:rPr>
              <w:t>2022-2023-2</w:t>
            </w:r>
          </w:p>
        </w:tc>
        <w:tc>
          <w:tcPr>
            <w:tcW w:w="408"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704"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r>
              <w:rPr>
                <w:rFonts w:hint="eastAsia" w:ascii="KaiTi_GB2312" w:eastAsia="KaiTi_GB2312"/>
                <w:highlight w:val="none"/>
              </w:rPr>
              <w:t>国贸22、信管22</w:t>
            </w:r>
            <w:r>
              <w:rPr>
                <w:rFonts w:hint="eastAsia" w:ascii="KaiTi_GB2312" w:eastAsia="KaiTi_GB2312"/>
                <w:highlight w:val="none"/>
                <w:lang w:eastAsia="zh-CN"/>
              </w:rPr>
              <w:t>、数管22、眼视光22、药学类223、营养22、药学类221、药学类222、护理211、护理212、助产21、临床211、临床212</w:t>
            </w:r>
          </w:p>
        </w:tc>
        <w:tc>
          <w:tcPr>
            <w:tcW w:w="731" w:type="pct"/>
            <w:gridSpan w:val="2"/>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中国近现代史纲要、</w:t>
            </w:r>
          </w:p>
          <w:p>
            <w:pPr>
              <w:spacing w:after="0" w:line="240" w:lineRule="auto"/>
              <w:jc w:val="center"/>
              <w:rPr>
                <w:rFonts w:hint="default" w:ascii="KaiTi_GB2312" w:eastAsia="KaiTi_GB2312"/>
                <w:highlight w:val="none"/>
                <w:lang w:val="en-US"/>
              </w:rPr>
            </w:pPr>
            <w:r>
              <w:rPr>
                <w:rFonts w:hint="eastAsia" w:ascii="KaiTi_GB2312" w:eastAsia="KaiTi_GB2312"/>
                <w:highlight w:val="none"/>
                <w:lang w:val="en-US" w:eastAsia="zh-CN"/>
              </w:rPr>
              <w:t>形势与政策、思想政治综合社会实践</w:t>
            </w:r>
          </w:p>
        </w:tc>
        <w:tc>
          <w:tcPr>
            <w:tcW w:w="362" w:type="pct"/>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242.16</w:t>
            </w:r>
          </w:p>
        </w:tc>
        <w:tc>
          <w:tcPr>
            <w:tcW w:w="542"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cantSplit/>
          <w:trHeight w:val="184" w:hRule="atLeast"/>
        </w:trPr>
        <w:tc>
          <w:tcPr>
            <w:tcW w:w="413"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hint="eastAsia" w:eastAsia="KaiTi_GB2312"/>
                <w:highlight w:val="none"/>
                <w:lang w:eastAsia="zh-CN"/>
              </w:rPr>
            </w:pPr>
            <w:r>
              <w:rPr>
                <w:rFonts w:eastAsia="KaiTi_GB2312"/>
                <w:highlight w:val="none"/>
              </w:rPr>
              <w:t>202</w:t>
            </w:r>
            <w:r>
              <w:rPr>
                <w:rFonts w:hint="eastAsia" w:eastAsia="KaiTi_GB2312"/>
                <w:highlight w:val="none"/>
                <w:lang w:val="en-US" w:eastAsia="zh-CN"/>
              </w:rPr>
              <w:t>2</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ascii="KaiTi_GB2312" w:eastAsia="KaiTi_GB2312"/>
                <w:highlight w:val="none"/>
              </w:rPr>
            </w:pPr>
            <w:r>
              <w:rPr>
                <w:rFonts w:hint="eastAsia" w:ascii="KaiTi_GB2312" w:eastAsia="KaiTi_GB2312"/>
                <w:highlight w:val="none"/>
              </w:rPr>
              <w:t>4</w:t>
            </w:r>
            <w:r>
              <w:rPr>
                <w:rFonts w:hint="eastAsia" w:ascii="KaiTi_GB2312" w:eastAsia="KaiTi_GB2312"/>
                <w:highlight w:val="none"/>
                <w:lang w:val="en-US" w:eastAsia="zh-CN"/>
              </w:rPr>
              <w:t>52.7</w:t>
            </w:r>
          </w:p>
        </w:tc>
        <w:tc>
          <w:tcPr>
            <w:tcW w:w="521" w:type="pct"/>
            <w:tcBorders>
              <w:top w:val="single" w:color="auto" w:sz="6" w:space="0"/>
              <w:left w:val="single" w:color="auto" w:sz="6" w:space="0"/>
              <w:right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2022-2023-1</w:t>
            </w:r>
          </w:p>
        </w:tc>
        <w:tc>
          <w:tcPr>
            <w:tcW w:w="408"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r>
              <w:rPr>
                <w:rFonts w:hint="eastAsia" w:ascii="KaiTi_GB2312" w:eastAsia="KaiTi_GB2312"/>
                <w:highlight w:val="none"/>
                <w:lang w:val="en-US" w:eastAsia="zh-CN"/>
              </w:rPr>
              <w:t>本科</w:t>
            </w:r>
          </w:p>
        </w:tc>
        <w:tc>
          <w:tcPr>
            <w:tcW w:w="704" w:type="pct"/>
            <w:tcBorders>
              <w:top w:val="single" w:color="auto" w:sz="6" w:space="0"/>
              <w:left w:val="single" w:color="auto" w:sz="4" w:space="0"/>
              <w:bottom w:val="single" w:color="auto" w:sz="6" w:space="0"/>
            </w:tcBorders>
            <w:vAlign w:val="center"/>
          </w:tcPr>
          <w:p>
            <w:pPr>
              <w:spacing w:after="0" w:line="240" w:lineRule="auto"/>
              <w:jc w:val="center"/>
              <w:rPr>
                <w:rFonts w:hint="eastAsia" w:ascii="KaiTi_GB2312" w:eastAsia="KaiTi_GB2312"/>
                <w:highlight w:val="none"/>
                <w:lang w:eastAsia="zh-CN"/>
              </w:rPr>
            </w:pPr>
            <w:r>
              <w:rPr>
                <w:rFonts w:hint="eastAsia" w:ascii="KaiTi_GB2312" w:eastAsia="KaiTi_GB2312"/>
                <w:highlight w:val="none"/>
              </w:rPr>
              <w:t>中医（妇产）21、中医儿科21</w:t>
            </w:r>
            <w:r>
              <w:rPr>
                <w:rFonts w:hint="eastAsia" w:ascii="KaiTi_GB2312" w:eastAsia="KaiTi_GB2312"/>
                <w:highlight w:val="none"/>
                <w:lang w:eastAsia="zh-CN"/>
              </w:rPr>
              <w:t>、中医213、中医211、公管212；公管类21；公管211、业余本中西医临床2022、业余本中医学2022</w:t>
            </w:r>
          </w:p>
        </w:tc>
        <w:tc>
          <w:tcPr>
            <w:tcW w:w="731" w:type="pct"/>
            <w:gridSpan w:val="2"/>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中国近现代史纲要、</w:t>
            </w:r>
          </w:p>
          <w:p>
            <w:pPr>
              <w:spacing w:after="0" w:line="240" w:lineRule="auto"/>
              <w:jc w:val="center"/>
              <w:rPr>
                <w:rFonts w:ascii="KaiTi_GB2312" w:eastAsia="KaiTi_GB2312"/>
                <w:highlight w:val="none"/>
              </w:rPr>
            </w:pPr>
            <w:r>
              <w:rPr>
                <w:rFonts w:hint="eastAsia" w:ascii="KaiTi_GB2312" w:eastAsia="KaiTi_GB2312"/>
                <w:highlight w:val="none"/>
                <w:lang w:val="en-US" w:eastAsia="zh-CN"/>
              </w:rPr>
              <w:t>形势与政策</w:t>
            </w:r>
          </w:p>
        </w:tc>
        <w:tc>
          <w:tcPr>
            <w:tcW w:w="362" w:type="pct"/>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208.74</w:t>
            </w:r>
          </w:p>
        </w:tc>
        <w:tc>
          <w:tcPr>
            <w:tcW w:w="542"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cantSplit/>
          <w:trHeight w:val="190" w:hRule="atLeast"/>
        </w:trPr>
        <w:tc>
          <w:tcPr>
            <w:tcW w:w="413"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408"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521" w:type="pct"/>
            <w:tcBorders>
              <w:left w:val="single" w:color="auto" w:sz="6" w:space="0"/>
              <w:bottom w:val="single" w:color="auto" w:sz="6" w:space="0"/>
              <w:right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2021-2022-2</w:t>
            </w:r>
          </w:p>
        </w:tc>
        <w:tc>
          <w:tcPr>
            <w:tcW w:w="408"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r>
              <w:rPr>
                <w:rFonts w:hint="eastAsia" w:ascii="KaiTi_GB2312" w:eastAsia="KaiTi_GB2312"/>
                <w:highlight w:val="none"/>
                <w:lang w:val="en-US" w:eastAsia="zh-CN"/>
              </w:rPr>
              <w:t>本科</w:t>
            </w:r>
          </w:p>
        </w:tc>
        <w:tc>
          <w:tcPr>
            <w:tcW w:w="704" w:type="pct"/>
            <w:tcBorders>
              <w:top w:val="single" w:color="auto" w:sz="6" w:space="0"/>
              <w:left w:val="single" w:color="auto" w:sz="4" w:space="0"/>
              <w:bottom w:val="single" w:color="auto" w:sz="6" w:space="0"/>
            </w:tcBorders>
            <w:vAlign w:val="center"/>
          </w:tcPr>
          <w:p>
            <w:pPr>
              <w:spacing w:after="0" w:line="240" w:lineRule="auto"/>
              <w:jc w:val="center"/>
              <w:rPr>
                <w:rFonts w:hint="eastAsia" w:ascii="KaiTi_GB2312" w:eastAsia="KaiTi_GB2312"/>
                <w:highlight w:val="none"/>
                <w:lang w:eastAsia="zh-CN"/>
              </w:rPr>
            </w:pPr>
            <w:r>
              <w:rPr>
                <w:rFonts w:hint="eastAsia" w:ascii="KaiTi_GB2312" w:eastAsia="KaiTi_GB2312"/>
                <w:highlight w:val="none"/>
              </w:rPr>
              <w:t>国贸22、信管22</w:t>
            </w:r>
            <w:r>
              <w:rPr>
                <w:rFonts w:hint="eastAsia" w:ascii="KaiTi_GB2312" w:eastAsia="KaiTi_GB2312"/>
                <w:highlight w:val="none"/>
                <w:lang w:eastAsia="zh-CN"/>
              </w:rPr>
              <w:t>、数管22、眼视光22、药学类223、营养22、药学类221、药学类222、护理211、护理212、助产21、临床211、临床212</w:t>
            </w:r>
          </w:p>
        </w:tc>
        <w:tc>
          <w:tcPr>
            <w:tcW w:w="731" w:type="pct"/>
            <w:gridSpan w:val="2"/>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中国近现代史纲要、</w:t>
            </w:r>
          </w:p>
          <w:p>
            <w:pPr>
              <w:spacing w:after="0" w:line="240" w:lineRule="auto"/>
              <w:jc w:val="center"/>
              <w:rPr>
                <w:rFonts w:ascii="KaiTi_GB2312" w:eastAsia="KaiTi_GB2312"/>
                <w:highlight w:val="none"/>
              </w:rPr>
            </w:pPr>
            <w:r>
              <w:rPr>
                <w:rFonts w:hint="eastAsia" w:ascii="KaiTi_GB2312" w:eastAsia="KaiTi_GB2312"/>
                <w:highlight w:val="none"/>
                <w:lang w:val="en-US" w:eastAsia="zh-CN"/>
              </w:rPr>
              <w:t>形势与政策、思想政治综合社会实践</w:t>
            </w:r>
          </w:p>
        </w:tc>
        <w:tc>
          <w:tcPr>
            <w:tcW w:w="362" w:type="pct"/>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243.96</w:t>
            </w:r>
          </w:p>
        </w:tc>
        <w:tc>
          <w:tcPr>
            <w:tcW w:w="542"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cantSplit/>
          <w:trHeight w:val="216" w:hRule="atLeast"/>
        </w:trPr>
        <w:tc>
          <w:tcPr>
            <w:tcW w:w="413"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hint="default" w:eastAsia="KaiTi_GB2312"/>
                <w:highlight w:val="none"/>
                <w:lang w:val="en-US" w:eastAsia="zh-CN"/>
              </w:rPr>
            </w:pPr>
            <w:r>
              <w:rPr>
                <w:rFonts w:eastAsia="KaiTi_GB2312"/>
                <w:highlight w:val="none"/>
              </w:rPr>
              <w:t>20</w:t>
            </w:r>
            <w:r>
              <w:rPr>
                <w:rFonts w:hint="eastAsia" w:eastAsia="KaiTi_GB2312"/>
                <w:highlight w:val="none"/>
                <w:lang w:val="en-US" w:eastAsia="zh-CN"/>
              </w:rPr>
              <w:t>21</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520.2</w:t>
            </w:r>
          </w:p>
        </w:tc>
        <w:tc>
          <w:tcPr>
            <w:tcW w:w="521" w:type="pct"/>
            <w:tcBorders>
              <w:top w:val="single" w:color="auto" w:sz="6" w:space="0"/>
              <w:left w:val="single" w:color="auto" w:sz="6" w:space="0"/>
              <w:right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2021-2022-1</w:t>
            </w:r>
          </w:p>
        </w:tc>
        <w:tc>
          <w:tcPr>
            <w:tcW w:w="408"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本科</w:t>
            </w:r>
          </w:p>
        </w:tc>
        <w:tc>
          <w:tcPr>
            <w:tcW w:w="704" w:type="pct"/>
            <w:tcBorders>
              <w:top w:val="single" w:color="auto" w:sz="6" w:space="0"/>
              <w:left w:val="single" w:color="auto" w:sz="4" w:space="0"/>
              <w:bottom w:val="single" w:color="auto" w:sz="6" w:space="0"/>
            </w:tcBorders>
            <w:vAlign w:val="center"/>
          </w:tcPr>
          <w:p>
            <w:pPr>
              <w:spacing w:after="0" w:line="240" w:lineRule="auto"/>
              <w:jc w:val="center"/>
              <w:rPr>
                <w:rFonts w:hint="eastAsia" w:ascii="KaiTi_GB2312" w:eastAsia="KaiTi_GB2312"/>
                <w:highlight w:val="none"/>
                <w:lang w:eastAsia="zh-CN"/>
              </w:rPr>
            </w:pPr>
            <w:r>
              <w:rPr>
                <w:rFonts w:hint="eastAsia" w:ascii="KaiTi_GB2312" w:eastAsia="KaiTi_GB2312"/>
                <w:highlight w:val="none"/>
              </w:rPr>
              <w:t>中医191、中医192</w:t>
            </w:r>
            <w:r>
              <w:rPr>
                <w:rFonts w:hint="eastAsia" w:ascii="KaiTi_GB2312" w:eastAsia="KaiTi_GB2312"/>
                <w:highlight w:val="none"/>
                <w:lang w:eastAsia="zh-CN"/>
              </w:rPr>
              <w:t>、中药九18、中药类202；中药类203</w:t>
            </w:r>
          </w:p>
        </w:tc>
        <w:tc>
          <w:tcPr>
            <w:tcW w:w="731" w:type="pct"/>
            <w:gridSpan w:val="2"/>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rPr>
              <w:t>毛泽东思想和中国特色社会主义理论体系概论</w:t>
            </w:r>
            <w:r>
              <w:rPr>
                <w:rFonts w:hint="eastAsia" w:ascii="KaiTi_GB2312" w:eastAsia="KaiTi_GB2312"/>
                <w:highlight w:val="none"/>
                <w:lang w:eastAsia="zh-CN"/>
              </w:rPr>
              <w:t>、</w:t>
            </w:r>
            <w:r>
              <w:rPr>
                <w:rFonts w:hint="eastAsia" w:ascii="KaiTi_GB2312" w:eastAsia="KaiTi_GB2312"/>
                <w:highlight w:val="none"/>
                <w:lang w:val="en-US" w:eastAsia="zh-CN"/>
              </w:rPr>
              <w:t>中国近现代史纲要、</w:t>
            </w:r>
          </w:p>
          <w:p>
            <w:pPr>
              <w:spacing w:after="0" w:line="240" w:lineRule="auto"/>
              <w:jc w:val="center"/>
              <w:rPr>
                <w:rFonts w:hint="eastAsia" w:ascii="KaiTi_GB2312" w:eastAsia="KaiTi_GB2312"/>
                <w:highlight w:val="none"/>
                <w:lang w:eastAsia="zh-CN"/>
              </w:rPr>
            </w:pPr>
            <w:r>
              <w:rPr>
                <w:rFonts w:hint="eastAsia" w:ascii="KaiTi_GB2312" w:eastAsia="KaiTi_GB2312"/>
                <w:highlight w:val="none"/>
                <w:lang w:val="en-US" w:eastAsia="zh-CN"/>
              </w:rPr>
              <w:t>形势与政策</w:t>
            </w:r>
          </w:p>
        </w:tc>
        <w:tc>
          <w:tcPr>
            <w:tcW w:w="362" w:type="pct"/>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227.7</w:t>
            </w:r>
          </w:p>
        </w:tc>
        <w:tc>
          <w:tcPr>
            <w:tcW w:w="542"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cantSplit/>
          <w:trHeight w:val="200" w:hRule="atLeast"/>
        </w:trPr>
        <w:tc>
          <w:tcPr>
            <w:tcW w:w="413"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408"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521" w:type="pct"/>
            <w:tcBorders>
              <w:left w:val="single" w:color="auto" w:sz="6" w:space="0"/>
              <w:right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2020-2021-2</w:t>
            </w:r>
          </w:p>
        </w:tc>
        <w:tc>
          <w:tcPr>
            <w:tcW w:w="408"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704" w:type="pct"/>
            <w:tcBorders>
              <w:top w:val="single" w:color="auto" w:sz="6" w:space="0"/>
              <w:left w:val="single" w:color="auto" w:sz="4" w:space="0"/>
              <w:bottom w:val="single" w:color="auto" w:sz="6" w:space="0"/>
            </w:tcBorders>
            <w:vAlign w:val="center"/>
          </w:tcPr>
          <w:p>
            <w:pPr>
              <w:spacing w:after="0" w:line="240" w:lineRule="auto"/>
              <w:jc w:val="center"/>
              <w:rPr>
                <w:rFonts w:hint="eastAsia" w:ascii="KaiTi_GB2312" w:eastAsia="KaiTi_GB2312"/>
                <w:highlight w:val="none"/>
                <w:lang w:eastAsia="zh-CN"/>
              </w:rPr>
            </w:pPr>
            <w:r>
              <w:rPr>
                <w:rFonts w:hint="eastAsia" w:ascii="KaiTi_GB2312" w:eastAsia="KaiTi_GB2312"/>
                <w:highlight w:val="none"/>
              </w:rPr>
              <w:t>中药类201、中药类202</w:t>
            </w:r>
            <w:r>
              <w:rPr>
                <w:rFonts w:hint="eastAsia" w:ascii="KaiTi_GB2312" w:eastAsia="KaiTi_GB2312"/>
                <w:highlight w:val="none"/>
                <w:lang w:eastAsia="zh-CN"/>
              </w:rPr>
              <w:t>、中药类203、生物技术20、营养20、公管类201、公管类202、健管20、护理194、195、196</w:t>
            </w:r>
          </w:p>
        </w:tc>
        <w:tc>
          <w:tcPr>
            <w:tcW w:w="731" w:type="pct"/>
            <w:gridSpan w:val="2"/>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中国近现代史纲要、</w:t>
            </w:r>
          </w:p>
          <w:p>
            <w:pPr>
              <w:spacing w:after="0" w:line="240" w:lineRule="auto"/>
              <w:jc w:val="center"/>
              <w:rPr>
                <w:rFonts w:ascii="KaiTi_GB2312" w:eastAsia="KaiTi_GB2312"/>
                <w:highlight w:val="none"/>
              </w:rPr>
            </w:pPr>
            <w:r>
              <w:rPr>
                <w:rFonts w:hint="eastAsia" w:ascii="KaiTi_GB2312" w:eastAsia="KaiTi_GB2312"/>
                <w:highlight w:val="none"/>
                <w:lang w:val="en-US" w:eastAsia="zh-CN"/>
              </w:rPr>
              <w:t>形势与政策</w:t>
            </w:r>
          </w:p>
        </w:tc>
        <w:tc>
          <w:tcPr>
            <w:tcW w:w="362" w:type="pct"/>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292.5</w:t>
            </w:r>
          </w:p>
        </w:tc>
        <w:tc>
          <w:tcPr>
            <w:tcW w:w="542"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cantSplit/>
          <w:trHeight w:val="275" w:hRule="atLeast"/>
        </w:trPr>
        <w:tc>
          <w:tcPr>
            <w:tcW w:w="413"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hint="default" w:eastAsia="KaiTi_GB2312"/>
                <w:highlight w:val="none"/>
                <w:lang w:val="en-US" w:eastAsia="zh-CN"/>
              </w:rPr>
            </w:pPr>
            <w:r>
              <w:rPr>
                <w:rFonts w:eastAsia="KaiTi_GB2312"/>
                <w:highlight w:val="none"/>
              </w:rPr>
              <w:t>20</w:t>
            </w:r>
            <w:r>
              <w:rPr>
                <w:rFonts w:hint="eastAsia" w:eastAsia="KaiTi_GB2312"/>
                <w:highlight w:val="none"/>
                <w:lang w:val="en-US" w:eastAsia="zh-CN"/>
              </w:rPr>
              <w:t>20</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532.74</w:t>
            </w:r>
          </w:p>
        </w:tc>
        <w:tc>
          <w:tcPr>
            <w:tcW w:w="521" w:type="pct"/>
            <w:tcBorders>
              <w:left w:val="single" w:color="auto" w:sz="6" w:space="0"/>
              <w:right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2020-2021-1</w:t>
            </w:r>
          </w:p>
        </w:tc>
        <w:tc>
          <w:tcPr>
            <w:tcW w:w="408"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704" w:type="pct"/>
            <w:tcBorders>
              <w:top w:val="single" w:color="auto" w:sz="6" w:space="0"/>
              <w:left w:val="single" w:color="auto" w:sz="4" w:space="0"/>
              <w:bottom w:val="single" w:color="auto" w:sz="6"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KaiTi_GB2312" w:eastAsia="KaiTi_GB2312"/>
                <w:highlight w:val="none"/>
                <w:lang w:val="en-US" w:eastAsia="zh-CN"/>
              </w:rPr>
              <w:t>中药173、资源17、中西临191、中西临192、护理194、195、196、业余本食品卫生与营养学专业2020年级、</w:t>
            </w:r>
            <w:r>
              <w:rPr>
                <w:rFonts w:hint="eastAsia" w:ascii="KaiTi_GB2312" w:eastAsia="KaiTi_GB2312"/>
                <w:highlight w:val="none"/>
                <w:lang w:eastAsia="zh-CN"/>
              </w:rPr>
              <w:t>函授本中药学专业2020年级</w:t>
            </w:r>
          </w:p>
        </w:tc>
        <w:tc>
          <w:tcPr>
            <w:tcW w:w="731" w:type="pct"/>
            <w:gridSpan w:val="2"/>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中国近现代史纲要、</w:t>
            </w:r>
          </w:p>
          <w:p>
            <w:pPr>
              <w:spacing w:after="0" w:line="240" w:lineRule="auto"/>
              <w:jc w:val="center"/>
              <w:rPr>
                <w:rFonts w:ascii="KaiTi_GB2312" w:eastAsia="KaiTi_GB2312"/>
                <w:highlight w:val="none"/>
              </w:rPr>
            </w:pPr>
            <w:r>
              <w:rPr>
                <w:rFonts w:hint="eastAsia" w:ascii="KaiTi_GB2312" w:eastAsia="KaiTi_GB2312"/>
                <w:highlight w:val="none"/>
                <w:lang w:val="en-US" w:eastAsia="zh-CN"/>
              </w:rPr>
              <w:t>形势与政策</w:t>
            </w:r>
          </w:p>
        </w:tc>
        <w:tc>
          <w:tcPr>
            <w:tcW w:w="362" w:type="pct"/>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204.18</w:t>
            </w:r>
          </w:p>
        </w:tc>
        <w:tc>
          <w:tcPr>
            <w:tcW w:w="542"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cantSplit/>
          <w:trHeight w:val="200" w:hRule="atLeast"/>
        </w:trPr>
        <w:tc>
          <w:tcPr>
            <w:tcW w:w="413"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408"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521" w:type="pct"/>
            <w:tcBorders>
              <w:left w:val="single" w:color="auto" w:sz="6" w:space="0"/>
              <w:bottom w:val="single" w:color="auto" w:sz="6" w:space="0"/>
              <w:right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2019-2020-2</w:t>
            </w:r>
          </w:p>
        </w:tc>
        <w:tc>
          <w:tcPr>
            <w:tcW w:w="408"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704" w:type="pct"/>
            <w:tcBorders>
              <w:top w:val="single" w:color="auto" w:sz="6" w:space="0"/>
              <w:left w:val="single" w:color="auto" w:sz="4" w:space="0"/>
              <w:bottom w:val="single" w:color="auto" w:sz="6" w:space="0"/>
            </w:tcBorders>
            <w:vAlign w:val="center"/>
          </w:tcPr>
          <w:p>
            <w:pPr>
              <w:spacing w:after="0" w:line="240" w:lineRule="auto"/>
              <w:jc w:val="center"/>
              <w:rPr>
                <w:rFonts w:hint="eastAsia" w:ascii="KaiTi_GB2312" w:eastAsia="KaiTi_GB2312"/>
                <w:highlight w:val="none"/>
                <w:lang w:eastAsia="zh-CN"/>
              </w:rPr>
            </w:pPr>
            <w:r>
              <w:rPr>
                <w:rFonts w:hint="eastAsia" w:ascii="KaiTi_GB2312" w:eastAsia="KaiTi_GB2312"/>
                <w:highlight w:val="none"/>
              </w:rPr>
              <w:t>医信19、营销19</w:t>
            </w:r>
            <w:r>
              <w:rPr>
                <w:rFonts w:hint="eastAsia" w:ascii="KaiTi_GB2312" w:eastAsia="KaiTi_GB2312"/>
                <w:highlight w:val="none"/>
                <w:lang w:eastAsia="zh-CN"/>
              </w:rPr>
              <w:t>、公管类191、公管类192、护理193、护理194、康复191、康复192、国贸19、健管19、英语181、英语182</w:t>
            </w:r>
          </w:p>
        </w:tc>
        <w:tc>
          <w:tcPr>
            <w:tcW w:w="731" w:type="pct"/>
            <w:gridSpan w:val="2"/>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中国近现代史纲要、</w:t>
            </w:r>
          </w:p>
          <w:p>
            <w:pPr>
              <w:spacing w:after="0" w:line="240" w:lineRule="auto"/>
              <w:jc w:val="center"/>
              <w:rPr>
                <w:rFonts w:ascii="KaiTi_GB2312" w:eastAsia="KaiTi_GB2312"/>
                <w:highlight w:val="none"/>
              </w:rPr>
            </w:pPr>
            <w:r>
              <w:rPr>
                <w:rFonts w:hint="eastAsia" w:ascii="KaiTi_GB2312" w:eastAsia="KaiTi_GB2312"/>
                <w:highlight w:val="none"/>
                <w:lang w:val="en-US" w:eastAsia="zh-CN"/>
              </w:rPr>
              <w:t>形势与政策</w:t>
            </w:r>
          </w:p>
        </w:tc>
        <w:tc>
          <w:tcPr>
            <w:tcW w:w="362" w:type="pct"/>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328.56</w:t>
            </w:r>
          </w:p>
        </w:tc>
        <w:tc>
          <w:tcPr>
            <w:tcW w:w="542"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cantSplit/>
          <w:trHeight w:val="358" w:hRule="atLeast"/>
        </w:trPr>
        <w:tc>
          <w:tcPr>
            <w:tcW w:w="413"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hint="eastAsia" w:eastAsia="KaiTi_GB2312"/>
                <w:highlight w:val="none"/>
                <w:lang w:eastAsia="zh-CN"/>
              </w:rPr>
            </w:pPr>
            <w:r>
              <w:rPr>
                <w:rFonts w:eastAsia="KaiTi_GB2312"/>
                <w:highlight w:val="none"/>
              </w:rPr>
              <w:t>201</w:t>
            </w:r>
            <w:r>
              <w:rPr>
                <w:rFonts w:hint="eastAsia" w:eastAsia="KaiTi_GB2312"/>
                <w:highlight w:val="none"/>
                <w:lang w:val="en-US" w:eastAsia="zh-CN"/>
              </w:rPr>
              <w:t>9</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426.3</w:t>
            </w:r>
          </w:p>
        </w:tc>
        <w:tc>
          <w:tcPr>
            <w:tcW w:w="521" w:type="pct"/>
            <w:tcBorders>
              <w:top w:val="single" w:color="auto" w:sz="6" w:space="0"/>
              <w:left w:val="single" w:color="auto" w:sz="6" w:space="0"/>
              <w:right w:val="single" w:color="auto" w:sz="4" w:space="0"/>
            </w:tcBorders>
            <w:vAlign w:val="center"/>
          </w:tcPr>
          <w:p>
            <w:pPr>
              <w:spacing w:after="0" w:line="240" w:lineRule="auto"/>
              <w:jc w:val="center"/>
              <w:rPr>
                <w:rFonts w:ascii="KaiTi_GB2312" w:eastAsia="KaiTi_GB2312"/>
                <w:highlight w:val="none"/>
              </w:rPr>
            </w:pPr>
            <w:r>
              <w:rPr>
                <w:rFonts w:hint="eastAsia" w:ascii="KaiTi_GB2312" w:eastAsia="KaiTi_GB2312"/>
                <w:highlight w:val="none"/>
                <w:lang w:val="en-US" w:eastAsia="zh-CN"/>
              </w:rPr>
              <w:t>2019-2020-1</w:t>
            </w:r>
          </w:p>
        </w:tc>
        <w:tc>
          <w:tcPr>
            <w:tcW w:w="408" w:type="pct"/>
            <w:tcBorders>
              <w:top w:val="single" w:color="auto" w:sz="6" w:space="0"/>
              <w:left w:val="single" w:color="auto" w:sz="4" w:space="0"/>
              <w:bottom w:val="single" w:color="auto" w:sz="6" w:space="0"/>
              <w:right w:val="single" w:color="auto" w:sz="4"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704" w:type="pct"/>
            <w:tcBorders>
              <w:top w:val="single" w:color="auto" w:sz="6" w:space="0"/>
              <w:left w:val="single" w:color="auto" w:sz="4" w:space="0"/>
              <w:bottom w:val="single" w:color="auto" w:sz="6" w:space="0"/>
            </w:tcBorders>
            <w:vAlign w:val="center"/>
          </w:tcPr>
          <w:p>
            <w:pPr>
              <w:spacing w:after="0" w:line="240" w:lineRule="auto"/>
              <w:jc w:val="center"/>
              <w:rPr>
                <w:rFonts w:hint="eastAsia" w:ascii="KaiTi_GB2312" w:eastAsia="KaiTi_GB2312"/>
                <w:sz w:val="10"/>
                <w:szCs w:val="10"/>
                <w:highlight w:val="none"/>
                <w:lang w:eastAsia="zh-CN"/>
              </w:rPr>
            </w:pPr>
            <w:r>
              <w:rPr>
                <w:rFonts w:hint="eastAsia" w:ascii="KaiTi_GB2312" w:eastAsia="KaiTi_GB2312"/>
                <w:highlight w:val="none"/>
                <w:lang w:eastAsia="zh-CN"/>
              </w:rPr>
              <w:t>中药161、中药162、中药163、资源16、中制药16、资源16、中制药16、函授本中药学专业2019</w:t>
            </w:r>
          </w:p>
        </w:tc>
        <w:tc>
          <w:tcPr>
            <w:tcW w:w="731" w:type="pct"/>
            <w:gridSpan w:val="2"/>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中国近现代史纲要、</w:t>
            </w:r>
          </w:p>
          <w:p>
            <w:pPr>
              <w:spacing w:after="0" w:line="240" w:lineRule="auto"/>
              <w:jc w:val="center"/>
              <w:rPr>
                <w:rFonts w:ascii="KaiTi_GB2312" w:eastAsia="KaiTi_GB2312"/>
                <w:highlight w:val="none"/>
              </w:rPr>
            </w:pPr>
            <w:r>
              <w:rPr>
                <w:rFonts w:hint="eastAsia" w:ascii="KaiTi_GB2312" w:eastAsia="KaiTi_GB2312"/>
                <w:highlight w:val="none"/>
                <w:lang w:val="en-US" w:eastAsia="zh-CN"/>
              </w:rPr>
              <w:t>形势与政策</w:t>
            </w:r>
          </w:p>
        </w:tc>
        <w:tc>
          <w:tcPr>
            <w:tcW w:w="362" w:type="pct"/>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106.8</w:t>
            </w:r>
          </w:p>
        </w:tc>
        <w:tc>
          <w:tcPr>
            <w:tcW w:w="542"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cantSplit/>
          <w:trHeight w:val="131" w:hRule="atLeast"/>
        </w:trPr>
        <w:tc>
          <w:tcPr>
            <w:tcW w:w="413"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408" w:type="pct"/>
            <w:vMerge w:val="continue"/>
            <w:tcBorders>
              <w:left w:val="single" w:color="auto" w:sz="4" w:space="0"/>
              <w:right w:val="single" w:color="auto" w:sz="6" w:space="0"/>
            </w:tcBorders>
            <w:vAlign w:val="center"/>
          </w:tcPr>
          <w:p>
            <w:pPr>
              <w:spacing w:after="0" w:line="240" w:lineRule="auto"/>
              <w:jc w:val="center"/>
              <w:rPr>
                <w:rFonts w:ascii="KaiTi_GB2312" w:eastAsia="KaiTi_GB2312"/>
                <w:highlight w:val="none"/>
              </w:rPr>
            </w:pPr>
          </w:p>
        </w:tc>
        <w:tc>
          <w:tcPr>
            <w:tcW w:w="521" w:type="pct"/>
            <w:tcBorders>
              <w:left w:val="single" w:color="auto" w:sz="6" w:space="0"/>
              <w:right w:val="single" w:color="auto" w:sz="4"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2018-2019-2</w:t>
            </w:r>
          </w:p>
        </w:tc>
        <w:tc>
          <w:tcPr>
            <w:tcW w:w="408" w:type="pct"/>
            <w:tcBorders>
              <w:top w:val="single" w:color="auto" w:sz="6" w:space="0"/>
              <w:left w:val="single" w:color="auto" w:sz="4" w:space="0"/>
              <w:bottom w:val="single" w:color="auto" w:sz="6" w:space="0"/>
              <w:right w:val="single" w:color="auto" w:sz="4"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704" w:type="pct"/>
            <w:tcBorders>
              <w:top w:val="single" w:color="auto" w:sz="6" w:space="0"/>
              <w:left w:val="single" w:color="auto" w:sz="4" w:space="0"/>
              <w:bottom w:val="single" w:color="auto" w:sz="6" w:space="0"/>
            </w:tcBorders>
            <w:vAlign w:val="center"/>
          </w:tcPr>
          <w:p>
            <w:pPr>
              <w:spacing w:after="0" w:line="240" w:lineRule="auto"/>
              <w:jc w:val="center"/>
              <w:rPr>
                <w:rFonts w:hint="eastAsia" w:ascii="KaiTi_GB2312" w:eastAsia="KaiTi_GB2312"/>
                <w:highlight w:val="none"/>
                <w:lang w:eastAsia="zh-CN"/>
              </w:rPr>
            </w:pPr>
            <w:r>
              <w:rPr>
                <w:rFonts w:hint="eastAsia" w:ascii="KaiTi_GB2312" w:eastAsia="KaiTi_GB2312"/>
                <w:highlight w:val="none"/>
              </w:rPr>
              <w:t>中医181；中医182；中医183</w:t>
            </w:r>
            <w:r>
              <w:rPr>
                <w:rFonts w:hint="eastAsia" w:ascii="KaiTi_GB2312" w:eastAsia="KaiTi_GB2312"/>
                <w:highlight w:val="none"/>
                <w:lang w:eastAsia="zh-CN"/>
              </w:rPr>
              <w:t>、中医儿科18；药学类181；药学类182、针推18；中医养生18；中医康复18、护理174、护理175、护理176、中医171、中医172、眼视光17、选修课</w:t>
            </w:r>
          </w:p>
        </w:tc>
        <w:tc>
          <w:tcPr>
            <w:tcW w:w="731" w:type="pct"/>
            <w:gridSpan w:val="2"/>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中国近现代史纲要、</w:t>
            </w:r>
          </w:p>
          <w:p>
            <w:pPr>
              <w:spacing w:after="0" w:line="240" w:lineRule="auto"/>
              <w:jc w:val="center"/>
              <w:rPr>
                <w:rFonts w:ascii="KaiTi_GB2312" w:eastAsia="KaiTi_GB2312"/>
                <w:highlight w:val="none"/>
              </w:rPr>
            </w:pPr>
            <w:r>
              <w:rPr>
                <w:rFonts w:hint="eastAsia" w:ascii="KaiTi_GB2312" w:eastAsia="KaiTi_GB2312"/>
                <w:highlight w:val="none"/>
                <w:lang w:val="en-US" w:eastAsia="zh-CN"/>
              </w:rPr>
              <w:t>形势与政策</w:t>
            </w:r>
          </w:p>
        </w:tc>
        <w:tc>
          <w:tcPr>
            <w:tcW w:w="362" w:type="pct"/>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319.5</w:t>
            </w:r>
          </w:p>
        </w:tc>
        <w:tc>
          <w:tcPr>
            <w:tcW w:w="542"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cantSplit/>
          <w:trHeight w:val="344" w:hRule="atLeast"/>
        </w:trPr>
        <w:tc>
          <w:tcPr>
            <w:tcW w:w="413" w:type="pct"/>
            <w:vMerge w:val="continue"/>
            <w:tcBorders>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2323" w:type="pct"/>
            <w:gridSpan w:val="5"/>
            <w:tcBorders>
              <w:left w:val="single" w:color="auto" w:sz="6" w:space="0"/>
              <w:bottom w:val="single" w:color="auto" w:sz="6" w:space="0"/>
            </w:tcBorders>
            <w:vAlign w:val="center"/>
          </w:tcPr>
          <w:p>
            <w:pPr>
              <w:spacing w:after="0" w:line="240" w:lineRule="auto"/>
              <w:jc w:val="center"/>
              <w:rPr>
                <w:rFonts w:ascii="KaiTi_GB2312" w:eastAsia="KaiTi_GB2312"/>
                <w:highlight w:val="none"/>
              </w:rPr>
            </w:pPr>
            <w:r>
              <w:rPr>
                <w:rFonts w:hint="eastAsia" w:eastAsia="KaiTi_GB2312"/>
                <w:highlight w:val="none"/>
              </w:rPr>
              <w:t>近五年个人年均课时</w:t>
            </w:r>
          </w:p>
        </w:tc>
        <w:tc>
          <w:tcPr>
            <w:tcW w:w="2258" w:type="pct"/>
            <w:gridSpan w:val="6"/>
            <w:tcBorders>
              <w:left w:val="single" w:color="auto" w:sz="4" w:space="0"/>
              <w:bottom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477.43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trPr>
        <w:tc>
          <w:tcPr>
            <w:tcW w:w="2737" w:type="pct"/>
            <w:gridSpan w:val="6"/>
            <w:tcBorders>
              <w:top w:val="single" w:color="auto" w:sz="6" w:space="0"/>
              <w:bottom w:val="single" w:color="auto" w:sz="6" w:space="0"/>
            </w:tcBorders>
            <w:vAlign w:val="center"/>
          </w:tcPr>
          <w:p>
            <w:pPr>
              <w:spacing w:after="0" w:line="240" w:lineRule="auto"/>
              <w:jc w:val="center"/>
              <w:rPr>
                <w:rFonts w:eastAsia="KaiTi_GB2312"/>
                <w:highlight w:val="none"/>
              </w:rPr>
            </w:pPr>
            <w:r>
              <w:rPr>
                <w:rFonts w:hint="eastAsia" w:ascii="KaiTi_GB2312" w:eastAsia="KaiTi_GB2312"/>
                <w:highlight w:val="none"/>
              </w:rPr>
              <w:t>单位</w:t>
            </w:r>
            <w:r>
              <w:rPr>
                <w:rFonts w:eastAsia="KaiTi_GB2312"/>
                <w:highlight w:val="none"/>
              </w:rPr>
              <w:t>（部门）资格审查小组确认教学工作情况是否符合</w:t>
            </w:r>
            <w:r>
              <w:rPr>
                <w:rFonts w:hint="eastAsia" w:eastAsia="KaiTi_GB2312"/>
                <w:highlight w:val="none"/>
              </w:rPr>
              <w:t>拟申报</w:t>
            </w:r>
            <w:r>
              <w:rPr>
                <w:rFonts w:hint="eastAsia" w:ascii="KaiTi_GB2312" w:eastAsia="KaiTi_GB2312"/>
                <w:highlight w:val="none"/>
              </w:rPr>
              <w:t>专业技术职务要求</w:t>
            </w:r>
          </w:p>
        </w:tc>
        <w:tc>
          <w:tcPr>
            <w:tcW w:w="709" w:type="pct"/>
            <w:vAlign w:val="center"/>
          </w:tcPr>
          <w:p>
            <w:pPr>
              <w:spacing w:after="0" w:line="240" w:lineRule="auto"/>
              <w:jc w:val="center"/>
              <w:rPr>
                <w:rFonts w:ascii="KaiTi_GB2312" w:eastAsia="KaiTi_GB2312"/>
                <w:highlight w:val="none"/>
              </w:rPr>
            </w:pPr>
            <w:r>
              <w:rPr>
                <w:rFonts w:hint="eastAsia" w:ascii="KaiTi_GB2312" w:eastAsia="KaiTi_GB2312"/>
                <w:highlight w:val="none"/>
              </w:rPr>
              <w:t>□符合    □不符合</w:t>
            </w:r>
          </w:p>
        </w:tc>
        <w:tc>
          <w:tcPr>
            <w:tcW w:w="675" w:type="pct"/>
            <w:gridSpan w:val="3"/>
            <w:vAlign w:val="center"/>
          </w:tcPr>
          <w:p>
            <w:pPr>
              <w:spacing w:after="0" w:line="240" w:lineRule="auto"/>
              <w:jc w:val="center"/>
              <w:rPr>
                <w:rFonts w:ascii="KaiTi_GB2312" w:eastAsia="KaiTi_GB2312"/>
                <w:highlight w:val="none"/>
              </w:rPr>
            </w:pPr>
            <w:r>
              <w:rPr>
                <w:rFonts w:hint="eastAsia" w:ascii="KaiTi_GB2312" w:eastAsia="KaiTi_GB2312"/>
                <w:highlight w:val="none"/>
              </w:rPr>
              <w:t>审核小组组长签名</w:t>
            </w:r>
          </w:p>
        </w:tc>
        <w:tc>
          <w:tcPr>
            <w:tcW w:w="878" w:type="pct"/>
            <w:gridSpan w:val="3"/>
            <w:vAlign w:val="center"/>
          </w:tcPr>
          <w:p>
            <w:pPr>
              <w:spacing w:after="0" w:line="240" w:lineRule="auto"/>
              <w:jc w:val="center"/>
              <w:rPr>
                <w:rFonts w:ascii="KaiTi_GB2312" w:eastAsia="KaiTi_GB2312"/>
                <w:highlight w:val="none"/>
              </w:rPr>
            </w:pPr>
          </w:p>
        </w:tc>
      </w:tr>
    </w:tbl>
    <w:p>
      <w:pPr>
        <w:spacing w:after="0" w:line="240" w:lineRule="auto"/>
        <w:rPr>
          <w:vanish/>
          <w:highlight w:val="none"/>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3"/>
        <w:gridCol w:w="741"/>
        <w:gridCol w:w="458"/>
        <w:gridCol w:w="1728"/>
        <w:gridCol w:w="1226"/>
        <w:gridCol w:w="1275"/>
        <w:gridCol w:w="885"/>
        <w:gridCol w:w="885"/>
        <w:gridCol w:w="1313"/>
        <w:gridCol w:w="2775"/>
        <w:gridCol w:w="720"/>
        <w:gridCol w:w="885"/>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4" w:type="dxa"/>
            <w:gridSpan w:val="2"/>
            <w:vAlign w:val="center"/>
          </w:tcPr>
          <w:p>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类别</w:t>
            </w:r>
          </w:p>
        </w:tc>
        <w:tc>
          <w:tcPr>
            <w:tcW w:w="458"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序号</w:t>
            </w:r>
          </w:p>
        </w:tc>
        <w:tc>
          <w:tcPr>
            <w:tcW w:w="1728"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论文或著作</w:t>
            </w:r>
          </w:p>
          <w:p>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名称</w:t>
            </w:r>
          </w:p>
        </w:tc>
        <w:tc>
          <w:tcPr>
            <w:tcW w:w="1226"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ascii="KaiTi_GB2312" w:eastAsia="KaiTi_GB2312"/>
                <w:highlight w:val="none"/>
              </w:rPr>
              <w:t>发表刊物或</w:t>
            </w:r>
          </w:p>
          <w:p>
            <w:pPr>
              <w:adjustRightInd w:val="0"/>
              <w:snapToGrid w:val="0"/>
              <w:spacing w:after="0" w:line="240" w:lineRule="auto"/>
              <w:jc w:val="center"/>
              <w:rPr>
                <w:rFonts w:ascii="KaiTi_GB2312" w:eastAsia="KaiTi_GB2312"/>
                <w:sz w:val="24"/>
                <w:szCs w:val="28"/>
                <w:highlight w:val="none"/>
              </w:rPr>
            </w:pPr>
            <w:r>
              <w:rPr>
                <w:rFonts w:ascii="KaiTi_GB2312" w:eastAsia="KaiTi_GB2312"/>
                <w:highlight w:val="none"/>
              </w:rPr>
              <w:t>出版单位名称</w:t>
            </w:r>
          </w:p>
        </w:tc>
        <w:tc>
          <w:tcPr>
            <w:tcW w:w="1275" w:type="dxa"/>
            <w:tcBorders>
              <w:bottom w:val="single" w:color="auto" w:sz="4" w:space="0"/>
            </w:tcBorders>
            <w:vAlign w:val="center"/>
          </w:tcPr>
          <w:p>
            <w:pPr>
              <w:adjustRightInd w:val="0"/>
              <w:snapToGrid w:val="0"/>
              <w:spacing w:after="0" w:line="240" w:lineRule="auto"/>
              <w:jc w:val="center"/>
              <w:rPr>
                <w:rFonts w:ascii="KaiTi_GB2312" w:eastAsia="KaiTi_GB2312"/>
                <w:sz w:val="24"/>
                <w:szCs w:val="28"/>
                <w:highlight w:val="none"/>
              </w:rPr>
            </w:pPr>
            <w:r>
              <w:rPr>
                <w:rFonts w:ascii="KaiTi_GB2312" w:eastAsia="KaiTi_GB2312"/>
                <w:highlight w:val="none"/>
              </w:rPr>
              <w:t>卷</w:t>
            </w:r>
            <w:r>
              <w:rPr>
                <w:rFonts w:hint="eastAsia" w:ascii="KaiTi_GB2312" w:eastAsia="KaiTi_GB2312"/>
                <w:highlight w:val="none"/>
              </w:rPr>
              <w:t>（</w:t>
            </w:r>
            <w:r>
              <w:rPr>
                <w:rFonts w:ascii="KaiTi_GB2312" w:eastAsia="KaiTi_GB2312"/>
                <w:highlight w:val="none"/>
              </w:rPr>
              <w:t>期</w:t>
            </w:r>
            <w:r>
              <w:rPr>
                <w:rFonts w:hint="eastAsia" w:ascii="KaiTi_GB2312" w:eastAsia="KaiTi_GB2312"/>
                <w:highlight w:val="none"/>
              </w:rPr>
              <w:t>）</w:t>
            </w:r>
            <w:r>
              <w:rPr>
                <w:rFonts w:ascii="KaiTi_GB2312" w:eastAsia="KaiTi_GB2312"/>
                <w:highlight w:val="none"/>
              </w:rPr>
              <w:t>号</w:t>
            </w:r>
          </w:p>
        </w:tc>
        <w:tc>
          <w:tcPr>
            <w:tcW w:w="885"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ascii="KaiTi_GB2312" w:eastAsia="KaiTi_GB2312"/>
                <w:highlight w:val="none"/>
              </w:rPr>
              <w:t>起止</w:t>
            </w:r>
          </w:p>
          <w:p>
            <w:pPr>
              <w:adjustRightInd w:val="0"/>
              <w:snapToGrid w:val="0"/>
              <w:spacing w:after="0" w:line="240" w:lineRule="auto"/>
              <w:jc w:val="center"/>
              <w:rPr>
                <w:rFonts w:ascii="KaiTi_GB2312" w:eastAsia="KaiTi_GB2312"/>
                <w:sz w:val="24"/>
                <w:szCs w:val="28"/>
                <w:highlight w:val="none"/>
              </w:rPr>
            </w:pPr>
            <w:r>
              <w:rPr>
                <w:rFonts w:ascii="KaiTi_GB2312" w:eastAsia="KaiTi_GB2312"/>
                <w:highlight w:val="none"/>
              </w:rPr>
              <w:t>页码</w:t>
            </w:r>
          </w:p>
        </w:tc>
        <w:tc>
          <w:tcPr>
            <w:tcW w:w="885" w:type="dxa"/>
            <w:tcBorders>
              <w:bottom w:val="single" w:color="auto" w:sz="4" w:space="0"/>
            </w:tcBorders>
            <w:vAlign w:val="center"/>
          </w:tcPr>
          <w:p>
            <w:pPr>
              <w:adjustRightInd w:val="0"/>
              <w:snapToGrid w:val="0"/>
              <w:spacing w:after="0" w:line="240" w:lineRule="auto"/>
              <w:jc w:val="center"/>
              <w:rPr>
                <w:rFonts w:hint="eastAsia" w:ascii="KaiTi_GB2312" w:eastAsia="KaiTi_GB2312"/>
                <w:sz w:val="18"/>
                <w:szCs w:val="18"/>
                <w:highlight w:val="none"/>
              </w:rPr>
            </w:pPr>
            <w:r>
              <w:rPr>
                <w:rFonts w:hint="eastAsia" w:ascii="KaiTi_GB2312" w:eastAsia="KaiTi_GB2312"/>
                <w:sz w:val="18"/>
                <w:szCs w:val="18"/>
                <w:highlight w:val="none"/>
              </w:rPr>
              <w:t>发表或</w:t>
            </w:r>
          </w:p>
          <w:p>
            <w:pPr>
              <w:adjustRightInd w:val="0"/>
              <w:snapToGrid w:val="0"/>
              <w:spacing w:after="0" w:line="240" w:lineRule="auto"/>
              <w:jc w:val="center"/>
              <w:rPr>
                <w:rFonts w:hint="eastAsia" w:ascii="KaiTi_GB2312" w:eastAsia="KaiTi_GB2312"/>
                <w:sz w:val="18"/>
                <w:szCs w:val="18"/>
                <w:highlight w:val="none"/>
              </w:rPr>
            </w:pPr>
            <w:r>
              <w:rPr>
                <w:rFonts w:hint="eastAsia" w:ascii="KaiTi_GB2312" w:eastAsia="KaiTi_GB2312"/>
                <w:sz w:val="18"/>
                <w:szCs w:val="18"/>
                <w:highlight w:val="none"/>
              </w:rPr>
              <w:t>出版</w:t>
            </w:r>
          </w:p>
          <w:p>
            <w:pPr>
              <w:adjustRightInd w:val="0"/>
              <w:snapToGrid w:val="0"/>
              <w:spacing w:after="0" w:line="240" w:lineRule="auto"/>
              <w:jc w:val="center"/>
              <w:rPr>
                <w:rFonts w:hint="eastAsia" w:ascii="KaiTi_GB2312" w:eastAsia="KaiTi_GB2312"/>
                <w:sz w:val="24"/>
                <w:szCs w:val="28"/>
                <w:highlight w:val="none"/>
                <w:lang w:eastAsia="zh-CN"/>
              </w:rPr>
            </w:pPr>
            <w:r>
              <w:rPr>
                <w:rFonts w:hint="eastAsia" w:ascii="KaiTi_GB2312" w:eastAsia="KaiTi_GB2312"/>
                <w:sz w:val="18"/>
                <w:szCs w:val="18"/>
                <w:highlight w:val="none"/>
              </w:rPr>
              <w:t>年、月</w:t>
            </w:r>
            <w:r>
              <w:rPr>
                <w:rFonts w:hint="eastAsia" w:ascii="KaiTi_GB2312" w:eastAsia="KaiTi_GB2312"/>
                <w:b/>
                <w:bCs/>
                <w:sz w:val="18"/>
                <w:szCs w:val="18"/>
                <w:highlight w:val="none"/>
                <w:vertAlign w:val="superscript"/>
                <w:lang w:val="en-US" w:eastAsia="zh-CN"/>
              </w:rPr>
              <w:t>2</w:t>
            </w:r>
          </w:p>
        </w:tc>
        <w:tc>
          <w:tcPr>
            <w:tcW w:w="1313" w:type="dxa"/>
            <w:tcBorders>
              <w:bottom w:val="single" w:color="auto" w:sz="4" w:space="0"/>
            </w:tcBorders>
            <w:vAlign w:val="center"/>
          </w:tcPr>
          <w:p>
            <w:pPr>
              <w:adjustRightInd w:val="0"/>
              <w:snapToGrid w:val="0"/>
              <w:spacing w:after="0" w:line="240" w:lineRule="auto"/>
              <w:ind w:firstLine="188" w:firstLineChars="100"/>
              <w:jc w:val="left"/>
              <w:rPr>
                <w:rFonts w:ascii="KaiTi_GB2312" w:eastAsia="KaiTi_GB2312"/>
                <w:spacing w:val="-11"/>
                <w:highlight w:val="none"/>
              </w:rPr>
            </w:pPr>
            <w:r>
              <w:rPr>
                <w:rFonts w:hint="eastAsia" w:ascii="KaiTi_GB2312" w:eastAsia="KaiTi_GB2312"/>
                <w:spacing w:val="-11"/>
                <w:highlight w:val="none"/>
              </w:rPr>
              <w:t>本人角色</w:t>
            </w:r>
          </w:p>
          <w:p>
            <w:pPr>
              <w:adjustRightInd w:val="0"/>
              <w:snapToGrid w:val="0"/>
              <w:spacing w:after="0" w:line="240" w:lineRule="auto"/>
              <w:jc w:val="left"/>
              <w:rPr>
                <w:rFonts w:ascii="KaiTi_GB2312" w:eastAsia="KaiTi_GB2312"/>
                <w:sz w:val="24"/>
                <w:szCs w:val="28"/>
                <w:highlight w:val="none"/>
              </w:rPr>
            </w:pPr>
            <w:r>
              <w:rPr>
                <w:rFonts w:hint="eastAsia" w:ascii="KaiTi_GB2312" w:eastAsia="KaiTi_GB2312"/>
                <w:spacing w:val="-11"/>
                <w:highlight w:val="none"/>
              </w:rPr>
              <w:t>（第一作者、共同第一作者、通讯作者、共同通讯作者、主编、编委等）</w:t>
            </w:r>
          </w:p>
        </w:tc>
        <w:tc>
          <w:tcPr>
            <w:tcW w:w="2775" w:type="dxa"/>
            <w:tcBorders>
              <w:bottom w:val="single" w:color="auto" w:sz="4" w:space="0"/>
            </w:tcBorders>
            <w:vAlign w:val="center"/>
          </w:tcPr>
          <w:p>
            <w:pPr>
              <w:adjustRightInd w:val="0"/>
              <w:snapToGrid w:val="0"/>
              <w:spacing w:after="0" w:line="240" w:lineRule="auto"/>
              <w:jc w:val="center"/>
              <w:rPr>
                <w:rFonts w:ascii="KaiTi_GB2312" w:eastAsia="KaiTi_GB2312"/>
                <w:spacing w:val="-11"/>
                <w:highlight w:val="none"/>
              </w:rPr>
            </w:pPr>
            <w:r>
              <w:rPr>
                <w:rFonts w:hint="eastAsia" w:ascii="KaiTi_GB2312" w:eastAsia="KaiTi_GB2312"/>
                <w:spacing w:val="-11"/>
                <w:highlight w:val="none"/>
              </w:rPr>
              <w:t>论文作者信息</w:t>
            </w:r>
          </w:p>
          <w:p>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spacing w:val="-11"/>
                <w:highlight w:val="none"/>
              </w:rPr>
              <w:t>（</w:t>
            </w:r>
            <w:r>
              <w:rPr>
                <w:rFonts w:hint="eastAsia" w:ascii="KaiTi_GB2312" w:eastAsia="KaiTi_GB2312"/>
                <w:spacing w:val="-11"/>
                <w:sz w:val="20"/>
                <w:szCs w:val="22"/>
              </w:rPr>
              <w:t>论文需填写所有作者</w:t>
            </w:r>
            <w:r>
              <w:rPr>
                <w:rFonts w:hint="eastAsia" w:ascii="KaiTi_GB2312" w:eastAsia="KaiTi_GB2312"/>
                <w:spacing w:val="-11"/>
                <w:sz w:val="20"/>
                <w:szCs w:val="22"/>
                <w:highlight w:val="none"/>
                <w:lang w:val="en-US" w:eastAsia="zh-CN"/>
              </w:rPr>
              <w:t>姓名</w:t>
            </w:r>
            <w:r>
              <w:rPr>
                <w:rFonts w:hint="eastAsia" w:ascii="KaiTi_GB2312" w:eastAsia="KaiTi_GB2312"/>
                <w:spacing w:val="-11"/>
                <w:sz w:val="20"/>
                <w:szCs w:val="22"/>
              </w:rPr>
              <w:t>，第一作者、共同第一作者上标“#”号；通讯作者、共同通讯作者上标“*”号。</w:t>
            </w:r>
            <w:r>
              <w:rPr>
                <w:rFonts w:hint="eastAsia" w:ascii="KaiTi_GB2312" w:eastAsia="KaiTi_GB2312"/>
                <w:spacing w:val="-11"/>
                <w:highlight w:val="none"/>
              </w:rPr>
              <w:t>）</w:t>
            </w:r>
          </w:p>
        </w:tc>
        <w:tc>
          <w:tcPr>
            <w:tcW w:w="720"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期刊</w:t>
            </w:r>
          </w:p>
          <w:p>
            <w:pPr>
              <w:adjustRightInd w:val="0"/>
              <w:snapToGrid w:val="0"/>
              <w:spacing w:after="0" w:line="240" w:lineRule="auto"/>
              <w:jc w:val="center"/>
              <w:rPr>
                <w:rFonts w:hint="eastAsia" w:ascii="楷体" w:hAnsi="楷体" w:eastAsia="楷体"/>
                <w:b/>
                <w:bCs/>
                <w:highlight w:val="none"/>
                <w:vertAlign w:val="superscript"/>
                <w:lang w:val="en-US" w:eastAsia="zh-CN"/>
              </w:rPr>
            </w:pPr>
            <w:r>
              <w:rPr>
                <w:rFonts w:hint="eastAsia" w:ascii="KaiTi_GB2312" w:eastAsia="KaiTi_GB2312"/>
                <w:highlight w:val="none"/>
              </w:rPr>
              <w:t>类别</w:t>
            </w:r>
            <w:r>
              <w:rPr>
                <w:rFonts w:hint="eastAsia" w:ascii="楷体" w:hAnsi="楷体" w:eastAsia="楷体"/>
                <w:b/>
                <w:bCs/>
                <w:highlight w:val="none"/>
                <w:vertAlign w:val="superscript"/>
                <w:lang w:val="en-US" w:eastAsia="zh-CN"/>
              </w:rPr>
              <w:t>3</w:t>
            </w:r>
          </w:p>
          <w:p>
            <w:pPr>
              <w:adjustRightInd w:val="0"/>
              <w:snapToGrid w:val="0"/>
              <w:spacing w:after="0" w:line="240" w:lineRule="auto"/>
              <w:jc w:val="center"/>
              <w:rPr>
                <w:rFonts w:hint="default" w:ascii="楷体" w:hAnsi="楷体" w:eastAsia="楷体"/>
                <w:b/>
                <w:bCs/>
                <w:highlight w:val="none"/>
                <w:vertAlign w:val="superscript"/>
                <w:lang w:val="en-US" w:eastAsia="zh-CN"/>
              </w:rPr>
            </w:pPr>
          </w:p>
        </w:tc>
        <w:tc>
          <w:tcPr>
            <w:tcW w:w="885" w:type="dxa"/>
            <w:tcBorders>
              <w:bottom w:val="single" w:color="auto" w:sz="4" w:space="0"/>
            </w:tcBorders>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签名</w:t>
            </w:r>
          </w:p>
        </w:tc>
        <w:tc>
          <w:tcPr>
            <w:tcW w:w="858" w:type="dxa"/>
            <w:tcBorders>
              <w:bottom w:val="single" w:color="auto" w:sz="4" w:space="0"/>
            </w:tcBorders>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1" w:hRule="exact"/>
        </w:trPr>
        <w:tc>
          <w:tcPr>
            <w:tcW w:w="583" w:type="dxa"/>
            <w:vMerge w:val="restart"/>
            <w:tcBorders>
              <w:right w:val="single" w:color="auto" w:sz="2" w:space="0"/>
            </w:tcBorders>
            <w:textDirection w:val="tbRlV"/>
          </w:tcPr>
          <w:p>
            <w:pPr>
              <w:spacing w:after="0" w:line="240" w:lineRule="auto"/>
              <w:ind w:left="113" w:right="113"/>
              <w:jc w:val="center"/>
              <w:rPr>
                <w:rFonts w:ascii="KaiTi_GB2312" w:eastAsia="KaiTi_GB2312"/>
                <w:sz w:val="24"/>
                <w:szCs w:val="28"/>
                <w:highlight w:val="none"/>
              </w:rPr>
            </w:pPr>
            <w:r>
              <w:rPr>
                <w:rFonts w:hint="eastAsia" w:ascii="黑体" w:eastAsia="黑体"/>
                <w:b/>
                <w:sz w:val="30"/>
                <w:szCs w:val="30"/>
                <w:highlight w:val="none"/>
              </w:rPr>
              <w:t>★</w:t>
            </w:r>
            <w:r>
              <w:rPr>
                <w:rFonts w:hint="eastAsia" w:ascii="KaiTi_GB2312" w:eastAsia="KaiTi_GB2312"/>
                <w:sz w:val="28"/>
                <w:szCs w:val="28"/>
                <w:highlight w:val="none"/>
              </w:rPr>
              <w:t>论文、论著情况</w:t>
            </w:r>
          </w:p>
        </w:tc>
        <w:tc>
          <w:tcPr>
            <w:tcW w:w="741" w:type="dxa"/>
            <w:vMerge w:val="restart"/>
            <w:tcBorders>
              <w:top w:val="single" w:color="auto" w:sz="2" w:space="0"/>
              <w:left w:val="single" w:color="auto" w:sz="2" w:space="0"/>
              <w:right w:val="single" w:color="auto" w:sz="4" w:space="0"/>
            </w:tcBorders>
            <w:textDirection w:val="tbRlV"/>
          </w:tcPr>
          <w:p>
            <w:pPr>
              <w:spacing w:after="0" w:line="240" w:lineRule="auto"/>
              <w:ind w:left="113" w:right="113"/>
              <w:jc w:val="center"/>
              <w:rPr>
                <w:rFonts w:ascii="KaiTi_GB2312" w:eastAsia="KaiTi_GB2312"/>
                <w:sz w:val="24"/>
                <w:szCs w:val="28"/>
                <w:highlight w:val="none"/>
              </w:rPr>
            </w:pPr>
            <w:r>
              <w:rPr>
                <w:rFonts w:hint="eastAsia" w:ascii="KaiTi_GB2312" w:eastAsia="KaiTi_GB2312"/>
                <w:sz w:val="22"/>
                <w:highlight w:val="none"/>
              </w:rPr>
              <w:t>教学论文、论著（不超过</w:t>
            </w:r>
            <w:r>
              <w:rPr>
                <w:rFonts w:hint="eastAsia" w:ascii="KaiTi_GB2312" w:eastAsia="KaiTi_GB2312"/>
                <w:sz w:val="22"/>
                <w:highlight w:val="none"/>
                <w:lang w:val="en-US" w:eastAsia="zh-CN"/>
              </w:rPr>
              <w:t>5</w:t>
            </w:r>
            <w:r>
              <w:rPr>
                <w:rFonts w:hint="eastAsia" w:ascii="KaiTi_GB2312" w:eastAsia="KaiTi_GB2312"/>
                <w:sz w:val="22"/>
                <w:highlight w:val="none"/>
              </w:rPr>
              <w:t>篇）</w:t>
            </w: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1</w:t>
            </w:r>
          </w:p>
        </w:tc>
        <w:tc>
          <w:tcPr>
            <w:tcW w:w="172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left"/>
              <w:rPr>
                <w:rFonts w:ascii="KaiTi_GB2312" w:eastAsia="KaiTi_GB2312"/>
                <w:sz w:val="24"/>
                <w:szCs w:val="28"/>
                <w:highlight w:val="none"/>
              </w:rPr>
            </w:pPr>
            <w:r>
              <w:rPr>
                <w:rFonts w:hint="eastAsia" w:ascii="KaiTi_GB2312" w:eastAsia="KaiTi_GB2312"/>
                <w:sz w:val="24"/>
                <w:szCs w:val="28"/>
                <w:highlight w:val="none"/>
              </w:rPr>
              <w:t>将中医文化融入中医院校思想政治理论课教学的途径</w:t>
            </w:r>
          </w:p>
        </w:tc>
        <w:tc>
          <w:tcPr>
            <w:tcW w:w="1226" w:type="dxa"/>
            <w:tcBorders>
              <w:top w:val="single" w:color="auto" w:sz="4" w:space="0"/>
              <w:left w:val="single" w:color="auto" w:sz="4" w:space="0"/>
              <w:bottom w:val="single" w:color="auto" w:sz="4" w:space="0"/>
              <w:right w:val="single" w:color="auto" w:sz="4" w:space="0"/>
            </w:tcBorders>
            <w:vAlign w:val="center"/>
          </w:tcPr>
          <w:p>
            <w:pPr>
              <w:spacing w:after="0" w:line="240" w:lineRule="auto"/>
              <w:jc w:val="left"/>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卫生职业教育</w:t>
            </w:r>
          </w:p>
        </w:tc>
        <w:tc>
          <w:tcPr>
            <w:tcW w:w="12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34（02）</w:t>
            </w: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27-28</w:t>
            </w: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2016.01</w:t>
            </w:r>
          </w:p>
        </w:tc>
        <w:tc>
          <w:tcPr>
            <w:tcW w:w="131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第一作者</w:t>
            </w:r>
          </w:p>
        </w:tc>
        <w:tc>
          <w:tcPr>
            <w:tcW w:w="27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王曼</w:t>
            </w:r>
            <w:r>
              <w:rPr>
                <w:rFonts w:hint="eastAsia" w:ascii="KaiTi_GB2312" w:eastAsia="KaiTi_GB2312"/>
                <w:spacing w:val="-11"/>
                <w:sz w:val="20"/>
                <w:szCs w:val="22"/>
                <w:vertAlign w:val="superscript"/>
              </w:rPr>
              <w:t>#</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省级</w:t>
            </w: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4"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2</w:t>
            </w:r>
          </w:p>
        </w:tc>
        <w:tc>
          <w:tcPr>
            <w:tcW w:w="172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left"/>
              <w:rPr>
                <w:rFonts w:ascii="KaiTi_GB2312" w:eastAsia="KaiTi_GB2312"/>
                <w:sz w:val="24"/>
                <w:szCs w:val="28"/>
                <w:highlight w:val="none"/>
              </w:rPr>
            </w:pPr>
            <w:r>
              <w:rPr>
                <w:rFonts w:hint="eastAsia" w:ascii="KaiTi_GB2312" w:eastAsia="KaiTi_GB2312"/>
                <w:sz w:val="24"/>
                <w:szCs w:val="28"/>
                <w:highlight w:val="none"/>
              </w:rPr>
              <w:t>新疆籍高校毕业生岗前培训班的教学理念研究</w:t>
            </w:r>
          </w:p>
        </w:tc>
        <w:tc>
          <w:tcPr>
            <w:tcW w:w="1226" w:type="dxa"/>
            <w:tcBorders>
              <w:top w:val="single" w:color="auto" w:sz="4" w:space="0"/>
              <w:left w:val="single" w:color="auto" w:sz="4" w:space="0"/>
              <w:bottom w:val="single" w:color="auto" w:sz="4" w:space="0"/>
              <w:right w:val="single" w:color="auto" w:sz="4" w:space="0"/>
            </w:tcBorders>
            <w:vAlign w:val="center"/>
          </w:tcPr>
          <w:p>
            <w:pPr>
              <w:spacing w:after="0" w:line="240" w:lineRule="auto"/>
              <w:jc w:val="left"/>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时代教育</w:t>
            </w:r>
          </w:p>
        </w:tc>
        <w:tc>
          <w:tcPr>
            <w:tcW w:w="12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23</w:t>
            </w: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57-58</w:t>
            </w: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2014.12</w:t>
            </w:r>
          </w:p>
        </w:tc>
        <w:tc>
          <w:tcPr>
            <w:tcW w:w="131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第一作者</w:t>
            </w:r>
          </w:p>
        </w:tc>
        <w:tc>
          <w:tcPr>
            <w:tcW w:w="27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王曼</w:t>
            </w:r>
            <w:r>
              <w:rPr>
                <w:rFonts w:hint="eastAsia" w:ascii="KaiTi_GB2312" w:eastAsia="KaiTi_GB2312"/>
                <w:spacing w:val="-11"/>
                <w:sz w:val="20"/>
                <w:szCs w:val="22"/>
                <w:vertAlign w:val="superscript"/>
              </w:rPr>
              <w:t>#</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省级</w:t>
            </w: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6"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4"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3</w:t>
            </w:r>
          </w:p>
        </w:tc>
        <w:tc>
          <w:tcPr>
            <w:tcW w:w="172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left"/>
              <w:rPr>
                <w:rFonts w:ascii="KaiTi_GB2312" w:eastAsia="KaiTi_GB2312"/>
                <w:sz w:val="24"/>
                <w:szCs w:val="28"/>
                <w:highlight w:val="none"/>
              </w:rPr>
            </w:pPr>
            <w:r>
              <w:rPr>
                <w:rFonts w:hint="eastAsia" w:ascii="KaiTi_GB2312" w:eastAsia="KaiTi_GB2312"/>
                <w:sz w:val="24"/>
                <w:szCs w:val="28"/>
                <w:highlight w:val="none"/>
              </w:rPr>
              <w:t>在“中国近现代史纲要”课程教学中开展传统文化教育——以高等中医院校为例</w:t>
            </w:r>
          </w:p>
        </w:tc>
        <w:tc>
          <w:tcPr>
            <w:tcW w:w="1226" w:type="dxa"/>
            <w:tcBorders>
              <w:top w:val="single" w:color="auto" w:sz="4" w:space="0"/>
              <w:left w:val="single" w:color="auto" w:sz="4" w:space="0"/>
              <w:bottom w:val="single" w:color="auto" w:sz="4" w:space="0"/>
              <w:right w:val="single" w:color="auto" w:sz="4" w:space="0"/>
            </w:tcBorders>
            <w:vAlign w:val="center"/>
          </w:tcPr>
          <w:p>
            <w:pPr>
              <w:spacing w:after="0" w:line="240" w:lineRule="auto"/>
              <w:jc w:val="left"/>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沧桑</w:t>
            </w:r>
          </w:p>
        </w:tc>
        <w:tc>
          <w:tcPr>
            <w:tcW w:w="12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03</w:t>
            </w: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204-206</w:t>
            </w: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2014.06</w:t>
            </w:r>
          </w:p>
        </w:tc>
        <w:tc>
          <w:tcPr>
            <w:tcW w:w="131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第一作者</w:t>
            </w:r>
          </w:p>
        </w:tc>
        <w:tc>
          <w:tcPr>
            <w:tcW w:w="27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王曼</w:t>
            </w:r>
            <w:r>
              <w:rPr>
                <w:rFonts w:hint="eastAsia" w:ascii="KaiTi_GB2312" w:eastAsia="KaiTi_GB2312"/>
                <w:spacing w:val="-11"/>
                <w:sz w:val="20"/>
                <w:szCs w:val="22"/>
                <w:vertAlign w:val="superscript"/>
              </w:rPr>
              <w:t>#</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省级</w:t>
            </w: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3"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4"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4</w:t>
            </w:r>
          </w:p>
        </w:tc>
        <w:tc>
          <w:tcPr>
            <w:tcW w:w="172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left"/>
              <w:rPr>
                <w:rFonts w:ascii="KaiTi_GB2312" w:eastAsia="KaiTi_GB2312"/>
                <w:sz w:val="24"/>
                <w:szCs w:val="28"/>
                <w:highlight w:val="none"/>
              </w:rPr>
            </w:pPr>
            <w:r>
              <w:rPr>
                <w:rFonts w:hint="eastAsia" w:ascii="KaiTi_GB2312" w:eastAsia="KaiTi_GB2312"/>
                <w:sz w:val="24"/>
                <w:szCs w:val="28"/>
                <w:highlight w:val="none"/>
              </w:rPr>
              <w:t>如何在高校政治理论课堂中开展廉政文化教育——以“中国近现代史纲要”课程为例</w:t>
            </w:r>
          </w:p>
        </w:tc>
        <w:tc>
          <w:tcPr>
            <w:tcW w:w="1226" w:type="dxa"/>
            <w:tcBorders>
              <w:top w:val="single" w:color="auto" w:sz="4" w:space="0"/>
              <w:left w:val="single" w:color="auto" w:sz="4" w:space="0"/>
              <w:bottom w:val="single" w:color="auto" w:sz="4" w:space="0"/>
              <w:right w:val="single" w:color="auto" w:sz="4" w:space="0"/>
            </w:tcBorders>
            <w:vAlign w:val="center"/>
          </w:tcPr>
          <w:p>
            <w:pPr>
              <w:spacing w:after="0" w:line="240" w:lineRule="auto"/>
              <w:jc w:val="left"/>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沧桑</w:t>
            </w:r>
          </w:p>
        </w:tc>
        <w:tc>
          <w:tcPr>
            <w:tcW w:w="12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03</w:t>
            </w: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128-130</w:t>
            </w: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2012.06</w:t>
            </w:r>
          </w:p>
        </w:tc>
        <w:tc>
          <w:tcPr>
            <w:tcW w:w="131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第一作者</w:t>
            </w:r>
          </w:p>
        </w:tc>
        <w:tc>
          <w:tcPr>
            <w:tcW w:w="27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王曼</w:t>
            </w:r>
            <w:r>
              <w:rPr>
                <w:rFonts w:hint="eastAsia" w:ascii="KaiTi_GB2312" w:eastAsia="KaiTi_GB2312"/>
                <w:spacing w:val="-11"/>
                <w:sz w:val="20"/>
                <w:szCs w:val="22"/>
                <w:vertAlign w:val="superscript"/>
              </w:rPr>
              <w:t>#</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省级</w:t>
            </w: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9"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tcBorders>
              <w:left w:val="single" w:color="auto" w:sz="2" w:space="0"/>
              <w:right w:val="single" w:color="auto" w:sz="4"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5</w:t>
            </w:r>
          </w:p>
        </w:tc>
        <w:tc>
          <w:tcPr>
            <w:tcW w:w="172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left"/>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高等中医院校思想政治理论课特色教学案例</w:t>
            </w:r>
          </w:p>
        </w:tc>
        <w:tc>
          <w:tcPr>
            <w:tcW w:w="1226" w:type="dxa"/>
            <w:tcBorders>
              <w:top w:val="single" w:color="auto" w:sz="4" w:space="0"/>
              <w:left w:val="single" w:color="auto" w:sz="4" w:space="0"/>
              <w:bottom w:val="single" w:color="auto" w:sz="4" w:space="0"/>
              <w:right w:val="single" w:color="auto" w:sz="4" w:space="0"/>
            </w:tcBorders>
            <w:vAlign w:val="center"/>
          </w:tcPr>
          <w:p>
            <w:pPr>
              <w:spacing w:after="0" w:line="240" w:lineRule="auto"/>
              <w:jc w:val="left"/>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南京大学出版社</w:t>
            </w:r>
          </w:p>
        </w:tc>
        <w:tc>
          <w:tcPr>
            <w:tcW w:w="12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24"/>
                <w:szCs w:val="28"/>
                <w:highlight w:val="none"/>
                <w:lang w:val="en-US" w:eastAsia="zh-CN"/>
              </w:rPr>
            </w:pP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24"/>
                <w:szCs w:val="28"/>
                <w:highlight w:val="none"/>
                <w:lang w:val="en-US" w:eastAsia="zh-CN"/>
              </w:rPr>
            </w:pP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2014.09</w:t>
            </w:r>
          </w:p>
        </w:tc>
        <w:tc>
          <w:tcPr>
            <w:tcW w:w="131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副主编</w:t>
            </w:r>
          </w:p>
          <w:p>
            <w:pPr>
              <w:spacing w:after="0" w:line="240" w:lineRule="auto"/>
              <w:jc w:val="center"/>
              <w:rPr>
                <w:rFonts w:hint="default" w:ascii="KaiTi_GB2312" w:eastAsia="KaiTi_GB2312"/>
                <w:sz w:val="24"/>
                <w:szCs w:val="28"/>
                <w:highlight w:val="none"/>
                <w:lang w:val="en-US" w:eastAsia="zh-CN"/>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张宗明，邹苏，王曼，陈方平，陶林</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eastAsia="KaiTi_GB2312"/>
                <w:sz w:val="24"/>
                <w:szCs w:val="28"/>
                <w:highlight w:val="none"/>
                <w:lang w:val="en-US" w:eastAsia="zh-CN"/>
              </w:rPr>
            </w:pP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vMerge w:val="restart"/>
            <w:tcBorders>
              <w:top w:val="single" w:color="auto" w:sz="12" w:space="0"/>
              <w:left w:val="single" w:color="auto" w:sz="2" w:space="0"/>
            </w:tcBorders>
            <w:textDirection w:val="tbLrV"/>
          </w:tcPr>
          <w:p>
            <w:pPr>
              <w:spacing w:after="0" w:line="240" w:lineRule="auto"/>
              <w:ind w:left="113" w:right="113"/>
              <w:jc w:val="center"/>
              <w:rPr>
                <w:rFonts w:ascii="KaiTi_GB2312" w:eastAsia="KaiTi_GB2312"/>
                <w:sz w:val="24"/>
                <w:szCs w:val="28"/>
                <w:highlight w:val="none"/>
              </w:rPr>
            </w:pPr>
            <w:r>
              <w:rPr>
                <w:rFonts w:hint="eastAsia" w:ascii="KaiTi_GB2312" w:eastAsia="KaiTi_GB2312"/>
                <w:sz w:val="22"/>
                <w:highlight w:val="none"/>
              </w:rPr>
              <w:t>科研论文、论著（不超过</w:t>
            </w:r>
            <w:r>
              <w:rPr>
                <w:rFonts w:hint="eastAsia" w:ascii="KaiTi_GB2312" w:eastAsia="KaiTi_GB2312"/>
                <w:sz w:val="22"/>
                <w:highlight w:val="none"/>
                <w:lang w:val="en-US" w:eastAsia="zh-CN"/>
              </w:rPr>
              <w:t>10</w:t>
            </w:r>
            <w:r>
              <w:rPr>
                <w:rFonts w:hint="eastAsia" w:ascii="KaiTi_GB2312" w:eastAsia="KaiTi_GB2312"/>
                <w:sz w:val="22"/>
                <w:highlight w:val="none"/>
              </w:rPr>
              <w:t>篇）</w:t>
            </w:r>
          </w:p>
        </w:tc>
        <w:tc>
          <w:tcPr>
            <w:tcW w:w="458" w:type="dxa"/>
            <w:tcBorders>
              <w:top w:val="single" w:color="auto" w:sz="12"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1</w:t>
            </w:r>
          </w:p>
        </w:tc>
        <w:tc>
          <w:tcPr>
            <w:tcW w:w="1728" w:type="dxa"/>
            <w:tcBorders>
              <w:top w:val="single" w:color="auto" w:sz="12" w:space="0"/>
            </w:tcBorders>
            <w:vAlign w:val="center"/>
          </w:tcPr>
          <w:p>
            <w:pPr>
              <w:spacing w:after="0" w:line="240" w:lineRule="auto"/>
              <w:jc w:val="left"/>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中医文化融入中医院校学生思想政治教育研究</w:t>
            </w:r>
          </w:p>
        </w:tc>
        <w:tc>
          <w:tcPr>
            <w:tcW w:w="1226" w:type="dxa"/>
            <w:tcBorders>
              <w:top w:val="single" w:color="auto" w:sz="12" w:space="0"/>
            </w:tcBorders>
            <w:vAlign w:val="center"/>
          </w:tcPr>
          <w:p>
            <w:pPr>
              <w:spacing w:after="0" w:line="240" w:lineRule="auto"/>
              <w:jc w:val="left"/>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南京大学出版社</w:t>
            </w:r>
          </w:p>
        </w:tc>
        <w:tc>
          <w:tcPr>
            <w:tcW w:w="1275" w:type="dxa"/>
            <w:tcBorders>
              <w:top w:val="single" w:color="auto" w:sz="12"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12"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12" w:space="0"/>
            </w:tcBorders>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2016.10</w:t>
            </w:r>
          </w:p>
        </w:tc>
        <w:tc>
          <w:tcPr>
            <w:tcW w:w="1313" w:type="dxa"/>
            <w:tcBorders>
              <w:top w:val="single" w:color="auto" w:sz="12" w:space="0"/>
            </w:tcBorders>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第一作者（论著，独立）</w:t>
            </w:r>
          </w:p>
        </w:tc>
        <w:tc>
          <w:tcPr>
            <w:tcW w:w="2775" w:type="dxa"/>
            <w:tcBorders>
              <w:top w:val="single" w:color="auto" w:sz="12" w:space="0"/>
            </w:tcBorders>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王曼</w:t>
            </w:r>
            <w:r>
              <w:rPr>
                <w:rFonts w:hint="eastAsia" w:ascii="KaiTi_GB2312" w:eastAsia="KaiTi_GB2312"/>
                <w:spacing w:val="-11"/>
                <w:sz w:val="20"/>
                <w:szCs w:val="22"/>
                <w:vertAlign w:val="superscript"/>
              </w:rPr>
              <w:t>#</w:t>
            </w:r>
          </w:p>
        </w:tc>
        <w:tc>
          <w:tcPr>
            <w:tcW w:w="720" w:type="dxa"/>
            <w:tcBorders>
              <w:top w:val="single" w:color="auto" w:sz="12" w:space="0"/>
            </w:tcBorders>
            <w:vAlign w:val="center"/>
          </w:tcPr>
          <w:p>
            <w:pPr>
              <w:spacing w:after="0" w:line="240" w:lineRule="auto"/>
              <w:jc w:val="center"/>
              <w:rPr>
                <w:rFonts w:hint="eastAsia" w:ascii="KaiTi_GB2312" w:eastAsia="KaiTi_GB2312"/>
                <w:sz w:val="24"/>
                <w:szCs w:val="28"/>
                <w:highlight w:val="none"/>
                <w:lang w:val="en-US" w:eastAsia="zh-CN"/>
              </w:rPr>
            </w:pPr>
          </w:p>
        </w:tc>
        <w:tc>
          <w:tcPr>
            <w:tcW w:w="885" w:type="dxa"/>
            <w:tcBorders>
              <w:top w:val="single" w:color="auto" w:sz="12"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12"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2</w:t>
            </w:r>
          </w:p>
        </w:tc>
        <w:tc>
          <w:tcPr>
            <w:tcW w:w="1728" w:type="dxa"/>
            <w:vAlign w:val="center"/>
          </w:tcPr>
          <w:p>
            <w:pPr>
              <w:spacing w:after="0" w:line="240" w:lineRule="auto"/>
              <w:jc w:val="left"/>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rPr>
              <w:t>新时代医学生奉献精神培育的实践路径探析</w:t>
            </w:r>
          </w:p>
        </w:tc>
        <w:tc>
          <w:tcPr>
            <w:tcW w:w="1226" w:type="dxa"/>
            <w:vAlign w:val="center"/>
          </w:tcPr>
          <w:p>
            <w:pPr>
              <w:spacing w:after="0" w:line="240" w:lineRule="auto"/>
              <w:jc w:val="left"/>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卫生职业教育</w:t>
            </w:r>
          </w:p>
        </w:tc>
        <w:tc>
          <w:tcPr>
            <w:tcW w:w="127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41(18)</w:t>
            </w:r>
          </w:p>
        </w:tc>
        <w:tc>
          <w:tcPr>
            <w:tcW w:w="88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55-57</w:t>
            </w:r>
          </w:p>
        </w:tc>
        <w:tc>
          <w:tcPr>
            <w:tcW w:w="88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2023.09</w:t>
            </w:r>
          </w:p>
        </w:tc>
        <w:tc>
          <w:tcPr>
            <w:tcW w:w="1313"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第一作者</w:t>
            </w:r>
          </w:p>
        </w:tc>
        <w:tc>
          <w:tcPr>
            <w:tcW w:w="2775" w:type="dxa"/>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王曼</w:t>
            </w:r>
            <w:r>
              <w:rPr>
                <w:rFonts w:hint="eastAsia" w:ascii="KaiTi_GB2312" w:eastAsia="KaiTi_GB2312"/>
                <w:spacing w:val="-11"/>
                <w:sz w:val="20"/>
                <w:szCs w:val="22"/>
                <w:vertAlign w:val="superscript"/>
              </w:rPr>
              <w:t>#</w:t>
            </w:r>
          </w:p>
        </w:tc>
        <w:tc>
          <w:tcPr>
            <w:tcW w:w="720" w:type="dxa"/>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省级</w:t>
            </w:r>
          </w:p>
        </w:tc>
        <w:tc>
          <w:tcPr>
            <w:tcW w:w="885" w:type="dxa"/>
            <w:vAlign w:val="center"/>
          </w:tcPr>
          <w:p>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858" w:type="dxa"/>
            <w:vAlign w:val="center"/>
          </w:tcPr>
          <w:p>
            <w:pPr>
              <w:spacing w:after="0" w:line="240" w:lineRule="auto"/>
              <w:jc w:val="center"/>
              <w:rPr>
                <w:rFonts w:ascii="KaiTi_GB2312" w:hAnsi="Times New Roman" w:eastAsia="KaiTi_GB2312" w:cs="Times New Roman"/>
                <w:kern w:val="2"/>
                <w:sz w:val="24"/>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6"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3</w:t>
            </w:r>
          </w:p>
        </w:tc>
        <w:tc>
          <w:tcPr>
            <w:tcW w:w="1728" w:type="dxa"/>
            <w:vAlign w:val="center"/>
          </w:tcPr>
          <w:p>
            <w:pPr>
              <w:spacing w:after="0" w:line="240" w:lineRule="auto"/>
              <w:jc w:val="left"/>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rPr>
              <w:t>抗击新冠肺炎疫情对中医药学生奉献精神培育的影响及展望</w:t>
            </w:r>
          </w:p>
        </w:tc>
        <w:tc>
          <w:tcPr>
            <w:tcW w:w="1226" w:type="dxa"/>
            <w:vAlign w:val="center"/>
          </w:tcPr>
          <w:p>
            <w:pPr>
              <w:spacing w:after="0" w:line="240" w:lineRule="auto"/>
              <w:jc w:val="left"/>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卫生职业教育</w:t>
            </w:r>
          </w:p>
        </w:tc>
        <w:tc>
          <w:tcPr>
            <w:tcW w:w="127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40(12)</w:t>
            </w:r>
          </w:p>
        </w:tc>
        <w:tc>
          <w:tcPr>
            <w:tcW w:w="88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62-63</w:t>
            </w:r>
          </w:p>
        </w:tc>
        <w:tc>
          <w:tcPr>
            <w:tcW w:w="88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2022.06</w:t>
            </w:r>
          </w:p>
        </w:tc>
        <w:tc>
          <w:tcPr>
            <w:tcW w:w="1313"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第一作者</w:t>
            </w:r>
          </w:p>
        </w:tc>
        <w:tc>
          <w:tcPr>
            <w:tcW w:w="2775" w:type="dxa"/>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王曼</w:t>
            </w:r>
            <w:r>
              <w:rPr>
                <w:rFonts w:hint="eastAsia" w:ascii="KaiTi_GB2312" w:eastAsia="KaiTi_GB2312"/>
                <w:spacing w:val="-11"/>
                <w:sz w:val="20"/>
                <w:szCs w:val="22"/>
                <w:vertAlign w:val="superscript"/>
              </w:rPr>
              <w:t>#</w:t>
            </w:r>
          </w:p>
        </w:tc>
        <w:tc>
          <w:tcPr>
            <w:tcW w:w="720" w:type="dxa"/>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省级</w:t>
            </w:r>
          </w:p>
        </w:tc>
        <w:tc>
          <w:tcPr>
            <w:tcW w:w="885" w:type="dxa"/>
            <w:vAlign w:val="center"/>
          </w:tcPr>
          <w:p>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858" w:type="dxa"/>
            <w:vAlign w:val="center"/>
          </w:tcPr>
          <w:p>
            <w:pPr>
              <w:spacing w:after="0" w:line="240" w:lineRule="auto"/>
              <w:jc w:val="center"/>
              <w:rPr>
                <w:rFonts w:ascii="KaiTi_GB2312" w:hAnsi="Times New Roman" w:eastAsia="KaiTi_GB2312" w:cs="Times New Roman"/>
                <w:kern w:val="2"/>
                <w:sz w:val="24"/>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9"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4</w:t>
            </w:r>
          </w:p>
        </w:tc>
        <w:tc>
          <w:tcPr>
            <w:tcW w:w="1728" w:type="dxa"/>
            <w:vAlign w:val="center"/>
          </w:tcPr>
          <w:p>
            <w:pPr>
              <w:spacing w:after="0" w:line="240" w:lineRule="auto"/>
              <w:jc w:val="left"/>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rPr>
              <w:t>南京某中医院校医学生职业精神培育状况及影响因素分析</w:t>
            </w:r>
          </w:p>
        </w:tc>
        <w:tc>
          <w:tcPr>
            <w:tcW w:w="1226" w:type="dxa"/>
            <w:vAlign w:val="center"/>
          </w:tcPr>
          <w:p>
            <w:pPr>
              <w:spacing w:after="0" w:line="240" w:lineRule="auto"/>
              <w:jc w:val="left"/>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卫生职业教育</w:t>
            </w:r>
          </w:p>
        </w:tc>
        <w:tc>
          <w:tcPr>
            <w:tcW w:w="127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38(21)</w:t>
            </w:r>
          </w:p>
        </w:tc>
        <w:tc>
          <w:tcPr>
            <w:tcW w:w="88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33-35</w:t>
            </w:r>
          </w:p>
        </w:tc>
        <w:tc>
          <w:tcPr>
            <w:tcW w:w="88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2020.11</w:t>
            </w:r>
          </w:p>
        </w:tc>
        <w:tc>
          <w:tcPr>
            <w:tcW w:w="1313"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第一作者</w:t>
            </w:r>
          </w:p>
        </w:tc>
        <w:tc>
          <w:tcPr>
            <w:tcW w:w="2775" w:type="dxa"/>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王曼</w:t>
            </w:r>
            <w:r>
              <w:rPr>
                <w:rFonts w:hint="eastAsia" w:ascii="KaiTi_GB2312" w:eastAsia="KaiTi_GB2312"/>
                <w:spacing w:val="-11"/>
                <w:sz w:val="20"/>
                <w:szCs w:val="22"/>
                <w:vertAlign w:val="superscript"/>
              </w:rPr>
              <w:t>#</w:t>
            </w:r>
          </w:p>
        </w:tc>
        <w:tc>
          <w:tcPr>
            <w:tcW w:w="720" w:type="dxa"/>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省级</w:t>
            </w:r>
          </w:p>
        </w:tc>
        <w:tc>
          <w:tcPr>
            <w:tcW w:w="885" w:type="dxa"/>
            <w:vAlign w:val="center"/>
          </w:tcPr>
          <w:p>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858" w:type="dxa"/>
            <w:vAlign w:val="center"/>
          </w:tcPr>
          <w:p>
            <w:pPr>
              <w:spacing w:after="0" w:line="240" w:lineRule="auto"/>
              <w:jc w:val="center"/>
              <w:rPr>
                <w:rFonts w:ascii="KaiTi_GB2312" w:hAnsi="Times New Roman" w:eastAsia="KaiTi_GB2312" w:cs="Times New Roman"/>
                <w:kern w:val="2"/>
                <w:sz w:val="24"/>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5</w:t>
            </w:r>
          </w:p>
        </w:tc>
        <w:tc>
          <w:tcPr>
            <w:tcW w:w="1728" w:type="dxa"/>
            <w:vAlign w:val="center"/>
          </w:tcPr>
          <w:p>
            <w:pPr>
              <w:spacing w:after="0" w:line="240" w:lineRule="auto"/>
              <w:jc w:val="left"/>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rPr>
              <w:t>弘扬中医文化 培育中医药院校医学生职业精神的实现路径</w:t>
            </w:r>
          </w:p>
        </w:tc>
        <w:tc>
          <w:tcPr>
            <w:tcW w:w="1226" w:type="dxa"/>
            <w:vAlign w:val="center"/>
          </w:tcPr>
          <w:p>
            <w:pPr>
              <w:spacing w:after="0" w:line="240" w:lineRule="auto"/>
              <w:jc w:val="left"/>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改革与开放</w:t>
            </w:r>
          </w:p>
        </w:tc>
        <w:tc>
          <w:tcPr>
            <w:tcW w:w="127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11</w:t>
            </w:r>
          </w:p>
        </w:tc>
        <w:tc>
          <w:tcPr>
            <w:tcW w:w="88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91-94</w:t>
            </w:r>
          </w:p>
        </w:tc>
        <w:tc>
          <w:tcPr>
            <w:tcW w:w="88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2020.06</w:t>
            </w:r>
          </w:p>
        </w:tc>
        <w:tc>
          <w:tcPr>
            <w:tcW w:w="1313"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第一作者</w:t>
            </w:r>
          </w:p>
        </w:tc>
        <w:tc>
          <w:tcPr>
            <w:tcW w:w="2775" w:type="dxa"/>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王曼</w:t>
            </w:r>
            <w:r>
              <w:rPr>
                <w:rFonts w:hint="eastAsia" w:ascii="KaiTi_GB2312" w:eastAsia="KaiTi_GB2312"/>
                <w:spacing w:val="-11"/>
                <w:sz w:val="20"/>
                <w:szCs w:val="22"/>
                <w:vertAlign w:val="superscript"/>
              </w:rPr>
              <w:t>#</w:t>
            </w:r>
          </w:p>
        </w:tc>
        <w:tc>
          <w:tcPr>
            <w:tcW w:w="720" w:type="dxa"/>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省级</w:t>
            </w:r>
          </w:p>
        </w:tc>
        <w:tc>
          <w:tcPr>
            <w:tcW w:w="885" w:type="dxa"/>
            <w:vAlign w:val="center"/>
          </w:tcPr>
          <w:p>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858" w:type="dxa"/>
            <w:vAlign w:val="center"/>
          </w:tcPr>
          <w:p>
            <w:pPr>
              <w:spacing w:after="0" w:line="240" w:lineRule="auto"/>
              <w:jc w:val="center"/>
              <w:rPr>
                <w:rFonts w:ascii="KaiTi_GB2312" w:hAnsi="Times New Roman" w:eastAsia="KaiTi_GB2312" w:cs="Times New Roman"/>
                <w:kern w:val="2"/>
                <w:sz w:val="24"/>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6</w:t>
            </w:r>
          </w:p>
        </w:tc>
        <w:tc>
          <w:tcPr>
            <w:tcW w:w="1728" w:type="dxa"/>
            <w:vAlign w:val="center"/>
          </w:tcPr>
          <w:p>
            <w:pPr>
              <w:spacing w:after="0" w:line="240" w:lineRule="auto"/>
              <w:jc w:val="left"/>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rPr>
              <w:t>中医文化融入中医院校思想政治教育的理论与现实分析</w:t>
            </w:r>
          </w:p>
        </w:tc>
        <w:tc>
          <w:tcPr>
            <w:tcW w:w="1226" w:type="dxa"/>
            <w:vAlign w:val="center"/>
          </w:tcPr>
          <w:p>
            <w:pPr>
              <w:spacing w:after="0" w:line="240" w:lineRule="auto"/>
              <w:jc w:val="left"/>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改革与开放</w:t>
            </w:r>
          </w:p>
        </w:tc>
        <w:tc>
          <w:tcPr>
            <w:tcW w:w="127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07</w:t>
            </w:r>
          </w:p>
        </w:tc>
        <w:tc>
          <w:tcPr>
            <w:tcW w:w="88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99-101</w:t>
            </w:r>
          </w:p>
        </w:tc>
        <w:tc>
          <w:tcPr>
            <w:tcW w:w="88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2019.04</w:t>
            </w:r>
          </w:p>
        </w:tc>
        <w:tc>
          <w:tcPr>
            <w:tcW w:w="1313"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第一作者</w:t>
            </w:r>
          </w:p>
        </w:tc>
        <w:tc>
          <w:tcPr>
            <w:tcW w:w="2775" w:type="dxa"/>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王曼</w:t>
            </w:r>
            <w:r>
              <w:rPr>
                <w:rFonts w:hint="eastAsia" w:ascii="KaiTi_GB2312" w:eastAsia="KaiTi_GB2312"/>
                <w:spacing w:val="-11"/>
                <w:sz w:val="20"/>
                <w:szCs w:val="22"/>
                <w:vertAlign w:val="superscript"/>
              </w:rPr>
              <w:t>#</w:t>
            </w:r>
          </w:p>
        </w:tc>
        <w:tc>
          <w:tcPr>
            <w:tcW w:w="720" w:type="dxa"/>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省级</w:t>
            </w:r>
          </w:p>
        </w:tc>
        <w:tc>
          <w:tcPr>
            <w:tcW w:w="885" w:type="dxa"/>
            <w:vAlign w:val="center"/>
          </w:tcPr>
          <w:p>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858" w:type="dxa"/>
            <w:vAlign w:val="center"/>
          </w:tcPr>
          <w:p>
            <w:pPr>
              <w:spacing w:after="0" w:line="240" w:lineRule="auto"/>
              <w:jc w:val="center"/>
              <w:rPr>
                <w:rFonts w:ascii="KaiTi_GB2312" w:hAnsi="Times New Roman" w:eastAsia="KaiTi_GB2312" w:cs="Times New Roman"/>
                <w:kern w:val="2"/>
                <w:sz w:val="24"/>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7</w:t>
            </w:r>
          </w:p>
        </w:tc>
        <w:tc>
          <w:tcPr>
            <w:tcW w:w="1728" w:type="dxa"/>
            <w:vAlign w:val="center"/>
          </w:tcPr>
          <w:p>
            <w:pPr>
              <w:spacing w:after="0" w:line="240" w:lineRule="auto"/>
              <w:jc w:val="left"/>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rPr>
              <w:t>延安整风给我们带来的经验和启示</w:t>
            </w:r>
          </w:p>
        </w:tc>
        <w:tc>
          <w:tcPr>
            <w:tcW w:w="1226" w:type="dxa"/>
            <w:vAlign w:val="center"/>
          </w:tcPr>
          <w:p>
            <w:pPr>
              <w:spacing w:after="0" w:line="240" w:lineRule="auto"/>
              <w:jc w:val="left"/>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前进</w:t>
            </w:r>
          </w:p>
        </w:tc>
        <w:tc>
          <w:tcPr>
            <w:tcW w:w="127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08</w:t>
            </w:r>
          </w:p>
        </w:tc>
        <w:tc>
          <w:tcPr>
            <w:tcW w:w="88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35-37</w:t>
            </w:r>
          </w:p>
        </w:tc>
        <w:tc>
          <w:tcPr>
            <w:tcW w:w="88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2018.08</w:t>
            </w:r>
          </w:p>
        </w:tc>
        <w:tc>
          <w:tcPr>
            <w:tcW w:w="1313"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第一作者</w:t>
            </w:r>
          </w:p>
        </w:tc>
        <w:tc>
          <w:tcPr>
            <w:tcW w:w="2775" w:type="dxa"/>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王曼</w:t>
            </w:r>
            <w:r>
              <w:rPr>
                <w:rFonts w:hint="eastAsia" w:ascii="KaiTi_GB2312" w:eastAsia="KaiTi_GB2312"/>
                <w:spacing w:val="-11"/>
                <w:sz w:val="20"/>
                <w:szCs w:val="22"/>
                <w:vertAlign w:val="superscript"/>
              </w:rPr>
              <w:t>#</w:t>
            </w:r>
          </w:p>
        </w:tc>
        <w:tc>
          <w:tcPr>
            <w:tcW w:w="720" w:type="dxa"/>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省级</w:t>
            </w:r>
          </w:p>
        </w:tc>
        <w:tc>
          <w:tcPr>
            <w:tcW w:w="885" w:type="dxa"/>
            <w:vAlign w:val="center"/>
          </w:tcPr>
          <w:p>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858" w:type="dxa"/>
            <w:vAlign w:val="center"/>
          </w:tcPr>
          <w:p>
            <w:pPr>
              <w:spacing w:after="0" w:line="240" w:lineRule="auto"/>
              <w:jc w:val="center"/>
              <w:rPr>
                <w:rFonts w:ascii="KaiTi_GB2312" w:hAnsi="Times New Roman" w:eastAsia="KaiTi_GB2312" w:cs="Times New Roman"/>
                <w:kern w:val="2"/>
                <w:sz w:val="24"/>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8</w:t>
            </w:r>
          </w:p>
        </w:tc>
        <w:tc>
          <w:tcPr>
            <w:tcW w:w="1728" w:type="dxa"/>
            <w:vAlign w:val="center"/>
          </w:tcPr>
          <w:p>
            <w:pPr>
              <w:spacing w:after="0" w:line="240" w:lineRule="auto"/>
              <w:jc w:val="left"/>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rPr>
              <w:t>建国以前中医药人才思想政治教育的特征</w:t>
            </w:r>
          </w:p>
        </w:tc>
        <w:tc>
          <w:tcPr>
            <w:tcW w:w="1226" w:type="dxa"/>
            <w:vAlign w:val="center"/>
          </w:tcPr>
          <w:p>
            <w:pPr>
              <w:spacing w:after="0" w:line="240" w:lineRule="auto"/>
              <w:jc w:val="left"/>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西北医学教育</w:t>
            </w:r>
          </w:p>
        </w:tc>
        <w:tc>
          <w:tcPr>
            <w:tcW w:w="127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23(05)</w:t>
            </w:r>
          </w:p>
        </w:tc>
        <w:tc>
          <w:tcPr>
            <w:tcW w:w="88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781-783</w:t>
            </w:r>
          </w:p>
        </w:tc>
        <w:tc>
          <w:tcPr>
            <w:tcW w:w="88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2015.10</w:t>
            </w:r>
          </w:p>
        </w:tc>
        <w:tc>
          <w:tcPr>
            <w:tcW w:w="1313"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第一作者</w:t>
            </w:r>
          </w:p>
        </w:tc>
        <w:tc>
          <w:tcPr>
            <w:tcW w:w="2775" w:type="dxa"/>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王曼</w:t>
            </w:r>
            <w:r>
              <w:rPr>
                <w:rFonts w:hint="eastAsia" w:ascii="KaiTi_GB2312" w:eastAsia="KaiTi_GB2312"/>
                <w:spacing w:val="-11"/>
                <w:sz w:val="20"/>
                <w:szCs w:val="22"/>
                <w:vertAlign w:val="superscript"/>
              </w:rPr>
              <w:t>#</w:t>
            </w:r>
          </w:p>
        </w:tc>
        <w:tc>
          <w:tcPr>
            <w:tcW w:w="720" w:type="dxa"/>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省级</w:t>
            </w:r>
          </w:p>
        </w:tc>
        <w:tc>
          <w:tcPr>
            <w:tcW w:w="885" w:type="dxa"/>
            <w:vAlign w:val="center"/>
          </w:tcPr>
          <w:p>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858" w:type="dxa"/>
            <w:vAlign w:val="center"/>
          </w:tcPr>
          <w:p>
            <w:pPr>
              <w:spacing w:after="0" w:line="240" w:lineRule="auto"/>
              <w:jc w:val="center"/>
              <w:rPr>
                <w:rFonts w:ascii="KaiTi_GB2312" w:hAnsi="Times New Roman" w:eastAsia="KaiTi_GB2312" w:cs="Times New Roman"/>
                <w:kern w:val="2"/>
                <w:sz w:val="24"/>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9</w:t>
            </w:r>
          </w:p>
        </w:tc>
        <w:tc>
          <w:tcPr>
            <w:tcW w:w="1728" w:type="dxa"/>
            <w:vAlign w:val="center"/>
          </w:tcPr>
          <w:p>
            <w:pPr>
              <w:keepNext w:val="0"/>
              <w:keepLines w:val="0"/>
              <w:widowControl/>
              <w:suppressLineNumbers w:val="0"/>
              <w:jc w:val="left"/>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加强苏北返乡农民工思想政治工作</w:t>
            </w:r>
          </w:p>
          <w:p>
            <w:pPr>
              <w:spacing w:after="0" w:line="240" w:lineRule="auto"/>
              <w:jc w:val="left"/>
              <w:rPr>
                <w:rFonts w:ascii="KaiTi_GB2312" w:hAnsi="Times New Roman" w:eastAsia="KaiTi_GB2312" w:cs="Times New Roman"/>
                <w:kern w:val="2"/>
                <w:sz w:val="24"/>
                <w:szCs w:val="28"/>
                <w:highlight w:val="none"/>
                <w:lang w:val="en-US" w:eastAsia="zh-CN" w:bidi="ar-SA"/>
              </w:rPr>
            </w:pPr>
          </w:p>
        </w:tc>
        <w:tc>
          <w:tcPr>
            <w:tcW w:w="1226" w:type="dxa"/>
            <w:vAlign w:val="center"/>
          </w:tcPr>
          <w:p>
            <w:pPr>
              <w:spacing w:after="0" w:line="240" w:lineRule="auto"/>
              <w:jc w:val="left"/>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cs="Times New Roman"/>
                <w:kern w:val="2"/>
                <w:sz w:val="24"/>
                <w:szCs w:val="28"/>
                <w:highlight w:val="none"/>
                <w:lang w:val="en-US" w:eastAsia="zh-CN" w:bidi="ar-SA"/>
              </w:rPr>
              <w:t>沧桑</w:t>
            </w:r>
          </w:p>
        </w:tc>
        <w:tc>
          <w:tcPr>
            <w:tcW w:w="127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cs="Times New Roman"/>
                <w:kern w:val="2"/>
                <w:sz w:val="24"/>
                <w:szCs w:val="28"/>
                <w:highlight w:val="none"/>
                <w:lang w:val="en-US" w:eastAsia="zh-CN" w:bidi="ar-SA"/>
              </w:rPr>
              <w:t>02</w:t>
            </w:r>
          </w:p>
        </w:tc>
        <w:tc>
          <w:tcPr>
            <w:tcW w:w="88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cs="Times New Roman"/>
                <w:kern w:val="2"/>
                <w:sz w:val="24"/>
                <w:szCs w:val="28"/>
                <w:highlight w:val="none"/>
                <w:lang w:val="en-US" w:eastAsia="zh-CN" w:bidi="ar-SA"/>
              </w:rPr>
              <w:t>158-160</w:t>
            </w:r>
          </w:p>
        </w:tc>
        <w:tc>
          <w:tcPr>
            <w:tcW w:w="88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cs="Times New Roman"/>
                <w:kern w:val="2"/>
                <w:sz w:val="24"/>
                <w:szCs w:val="28"/>
                <w:highlight w:val="none"/>
                <w:lang w:val="en-US" w:eastAsia="zh-CN" w:bidi="ar-SA"/>
              </w:rPr>
              <w:t>2013.04</w:t>
            </w:r>
          </w:p>
        </w:tc>
        <w:tc>
          <w:tcPr>
            <w:tcW w:w="1313"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cs="Times New Roman"/>
                <w:kern w:val="2"/>
                <w:sz w:val="24"/>
                <w:szCs w:val="28"/>
                <w:highlight w:val="none"/>
                <w:lang w:val="en-US" w:eastAsia="zh-CN" w:bidi="ar-SA"/>
              </w:rPr>
              <w:t>第一作者</w:t>
            </w:r>
          </w:p>
        </w:tc>
        <w:tc>
          <w:tcPr>
            <w:tcW w:w="2775"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王曼</w:t>
            </w:r>
            <w:r>
              <w:rPr>
                <w:rFonts w:hint="eastAsia" w:ascii="KaiTi_GB2312" w:eastAsia="KaiTi_GB2312"/>
                <w:spacing w:val="-11"/>
                <w:sz w:val="20"/>
                <w:szCs w:val="22"/>
                <w:vertAlign w:val="superscript"/>
              </w:rPr>
              <w:t>#</w:t>
            </w:r>
          </w:p>
        </w:tc>
        <w:tc>
          <w:tcPr>
            <w:tcW w:w="720"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cs="Times New Roman"/>
                <w:kern w:val="2"/>
                <w:sz w:val="24"/>
                <w:szCs w:val="28"/>
                <w:highlight w:val="none"/>
                <w:lang w:val="en-US" w:eastAsia="zh-CN" w:bidi="ar-SA"/>
              </w:rPr>
              <w:t>省级</w:t>
            </w:r>
          </w:p>
        </w:tc>
        <w:tc>
          <w:tcPr>
            <w:tcW w:w="885" w:type="dxa"/>
            <w:vAlign w:val="center"/>
          </w:tcPr>
          <w:p>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858" w:type="dxa"/>
            <w:vAlign w:val="center"/>
          </w:tcPr>
          <w:p>
            <w:pPr>
              <w:spacing w:after="0" w:line="240" w:lineRule="auto"/>
              <w:jc w:val="center"/>
              <w:rPr>
                <w:rFonts w:ascii="KaiTi_GB2312" w:hAnsi="Times New Roman" w:eastAsia="KaiTi_GB2312" w:cs="Times New Roman"/>
                <w:kern w:val="2"/>
                <w:sz w:val="24"/>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10</w:t>
            </w:r>
          </w:p>
        </w:tc>
        <w:tc>
          <w:tcPr>
            <w:tcW w:w="1728" w:type="dxa"/>
            <w:vAlign w:val="center"/>
          </w:tcPr>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41" w:beforeAutospacing="0" w:after="141" w:afterAutospacing="0" w:line="240" w:lineRule="auto"/>
              <w:ind w:left="0" w:right="0" w:firstLine="0"/>
              <w:jc w:val="left"/>
              <w:textAlignment w:val="center"/>
              <w:rPr>
                <w:rFonts w:hint="default" w:ascii="KaiTi_GB2312" w:hAnsi="Times New Roman" w:eastAsia="KaiTi_GB2312" w:cs="Times New Roman"/>
                <w:b w:val="0"/>
                <w:bCs w:val="0"/>
                <w:kern w:val="2"/>
                <w:sz w:val="24"/>
                <w:szCs w:val="28"/>
                <w:highlight w:val="none"/>
                <w:lang w:val="en-US" w:eastAsia="zh-CN" w:bidi="ar-SA"/>
              </w:rPr>
            </w:pPr>
            <w:r>
              <w:rPr>
                <w:rFonts w:hint="eastAsia" w:ascii="KaiTi_GB2312" w:hAnsi="Times New Roman" w:eastAsia="KaiTi_GB2312" w:cs="Times New Roman"/>
                <w:b w:val="0"/>
                <w:bCs w:val="0"/>
                <w:kern w:val="2"/>
                <w:sz w:val="24"/>
                <w:szCs w:val="28"/>
                <w:highlight w:val="none"/>
                <w:lang w:val="en-US" w:eastAsia="zh-CN" w:bidi="ar-SA"/>
              </w:rPr>
              <w:t>苏北农民工返乡后面临的实际困难及对策</w:t>
            </w:r>
          </w:p>
          <w:p>
            <w:pPr>
              <w:spacing w:after="0" w:line="240" w:lineRule="auto"/>
              <w:jc w:val="left"/>
              <w:rPr>
                <w:rFonts w:ascii="KaiTi_GB2312" w:eastAsia="KaiTi_GB2312"/>
                <w:sz w:val="24"/>
                <w:szCs w:val="28"/>
                <w:highlight w:val="none"/>
              </w:rPr>
            </w:pPr>
          </w:p>
        </w:tc>
        <w:tc>
          <w:tcPr>
            <w:tcW w:w="1226" w:type="dxa"/>
            <w:vAlign w:val="center"/>
          </w:tcPr>
          <w:p>
            <w:pPr>
              <w:spacing w:after="0" w:line="240" w:lineRule="auto"/>
              <w:jc w:val="left"/>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农村经济与科技</w:t>
            </w:r>
          </w:p>
        </w:tc>
        <w:tc>
          <w:tcPr>
            <w:tcW w:w="1275" w:type="dxa"/>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24（07）</w:t>
            </w:r>
          </w:p>
        </w:tc>
        <w:tc>
          <w:tcPr>
            <w:tcW w:w="885" w:type="dxa"/>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114-115</w:t>
            </w:r>
          </w:p>
        </w:tc>
        <w:tc>
          <w:tcPr>
            <w:tcW w:w="885" w:type="dxa"/>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2013.07</w:t>
            </w:r>
          </w:p>
        </w:tc>
        <w:tc>
          <w:tcPr>
            <w:tcW w:w="1313"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第一作者</w:t>
            </w:r>
          </w:p>
        </w:tc>
        <w:tc>
          <w:tcPr>
            <w:tcW w:w="2775" w:type="dxa"/>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王曼</w:t>
            </w:r>
            <w:r>
              <w:rPr>
                <w:rFonts w:hint="eastAsia" w:ascii="KaiTi_GB2312" w:eastAsia="KaiTi_GB2312"/>
                <w:spacing w:val="-11"/>
                <w:sz w:val="20"/>
                <w:szCs w:val="22"/>
                <w:vertAlign w:val="superscript"/>
              </w:rPr>
              <w:t>#</w:t>
            </w:r>
          </w:p>
        </w:tc>
        <w:tc>
          <w:tcPr>
            <w:tcW w:w="720" w:type="dxa"/>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省级</w:t>
            </w: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4736" w:type="dxa"/>
            <w:gridSpan w:val="5"/>
            <w:vAlign w:val="center"/>
          </w:tcPr>
          <w:p>
            <w:pPr>
              <w:spacing w:after="0" w:line="240" w:lineRule="auto"/>
              <w:rPr>
                <w:rFonts w:ascii="KaiTi_GB2312" w:eastAsia="KaiTi_GB2312"/>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资格审查小组确认有效论文、论著数量</w:t>
            </w:r>
          </w:p>
        </w:tc>
        <w:tc>
          <w:tcPr>
            <w:tcW w:w="4358" w:type="dxa"/>
            <w:gridSpan w:val="4"/>
            <w:vAlign w:val="center"/>
          </w:tcPr>
          <w:p>
            <w:pPr>
              <w:spacing w:after="0" w:line="240" w:lineRule="auto"/>
              <w:rPr>
                <w:rFonts w:ascii="KaiTi_GB2312" w:eastAsia="KaiTi_GB2312"/>
                <w:highlight w:val="none"/>
              </w:rPr>
            </w:pPr>
            <w:r>
              <w:rPr>
                <w:rFonts w:hint="eastAsia" w:ascii="KaiTi_GB2312" w:eastAsia="KaiTi_GB2312"/>
                <w:highlight w:val="none"/>
              </w:rPr>
              <w:t>有效论文、论著          篇（部）</w:t>
            </w:r>
          </w:p>
        </w:tc>
        <w:tc>
          <w:tcPr>
            <w:tcW w:w="2775" w:type="dxa"/>
            <w:vAlign w:val="center"/>
          </w:tcPr>
          <w:p>
            <w:pPr>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c>
          <w:tcPr>
            <w:tcW w:w="2463" w:type="dxa"/>
            <w:gridSpan w:val="3"/>
            <w:vAlign w:val="center"/>
          </w:tcPr>
          <w:p>
            <w:pPr>
              <w:spacing w:after="0" w:line="240" w:lineRule="auto"/>
              <w:rPr>
                <w:rFonts w:ascii="KaiTi_GB2312" w:eastAsia="KaiTi_GB2312"/>
                <w:sz w:val="24"/>
                <w:szCs w:val="28"/>
                <w:highlight w:val="none"/>
              </w:rPr>
            </w:pPr>
          </w:p>
        </w:tc>
      </w:tr>
    </w:tbl>
    <w:p>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本年度专业技术职务申报者提交的任现职以来的教学论文（论著）不得超过</w:t>
      </w:r>
      <w:r>
        <w:rPr>
          <w:rFonts w:hint="eastAsia" w:ascii="黑体" w:hAnsi="黑体" w:eastAsia="黑体"/>
          <w:spacing w:val="-11"/>
          <w:highlight w:val="none"/>
          <w:lang w:val="en-US" w:eastAsia="zh-CN"/>
        </w:rPr>
        <w:t>5</w:t>
      </w:r>
      <w:r>
        <w:rPr>
          <w:rFonts w:hint="eastAsia" w:ascii="黑体" w:hAnsi="黑体" w:eastAsia="黑体"/>
          <w:spacing w:val="-11"/>
          <w:highlight w:val="none"/>
        </w:rPr>
        <w:t>篇。如填写超过</w:t>
      </w:r>
      <w:r>
        <w:rPr>
          <w:rFonts w:hint="eastAsia" w:ascii="黑体" w:hAnsi="黑体" w:eastAsia="黑体"/>
          <w:spacing w:val="-11"/>
          <w:highlight w:val="none"/>
          <w:lang w:val="en-US" w:eastAsia="zh-CN"/>
        </w:rPr>
        <w:t>5篇</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前5项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firstLine="1316" w:firstLineChars="700"/>
        <w:rPr>
          <w:rFonts w:hint="eastAsia" w:ascii="黑体" w:hAnsi="黑体" w:eastAsia="黑体"/>
          <w:spacing w:val="-11"/>
          <w:highlight w:val="none"/>
          <w:lang w:val="en-US" w:eastAsia="zh-CN"/>
        </w:rPr>
      </w:pP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科研</w:t>
      </w:r>
      <w:r>
        <w:rPr>
          <w:rFonts w:hint="eastAsia" w:ascii="黑体" w:hAnsi="黑体" w:eastAsia="黑体"/>
          <w:spacing w:val="-11"/>
          <w:highlight w:val="none"/>
        </w:rPr>
        <w:t>论文（论著）不得超过</w:t>
      </w:r>
      <w:r>
        <w:rPr>
          <w:rFonts w:hint="eastAsia" w:ascii="黑体" w:hAnsi="黑体" w:eastAsia="黑体"/>
          <w:spacing w:val="-11"/>
          <w:highlight w:val="none"/>
          <w:lang w:val="en-US" w:eastAsia="zh-CN"/>
        </w:rPr>
        <w:t>10</w:t>
      </w:r>
      <w:r>
        <w:rPr>
          <w:rFonts w:hint="eastAsia" w:ascii="黑体" w:hAnsi="黑体" w:eastAsia="黑体"/>
          <w:spacing w:val="-11"/>
          <w:highlight w:val="none"/>
        </w:rPr>
        <w:t>篇。如填写超过</w:t>
      </w:r>
      <w:r>
        <w:rPr>
          <w:rFonts w:hint="eastAsia" w:ascii="黑体" w:hAnsi="黑体" w:eastAsia="黑体"/>
          <w:spacing w:val="-11"/>
          <w:highlight w:val="none"/>
          <w:lang w:val="en-US" w:eastAsia="zh-CN"/>
        </w:rPr>
        <w:t>10篇</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前10项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firstLine="1128" w:firstLineChars="600"/>
        <w:rPr>
          <w:rFonts w:hint="eastAsia" w:ascii="黑体" w:hAnsi="黑体" w:eastAsia="黑体"/>
          <w:spacing w:val="-11"/>
          <w:highlight w:val="none"/>
          <w:lang w:eastAsia="zh-CN"/>
        </w:rPr>
      </w:pPr>
      <w:r>
        <w:rPr>
          <w:rFonts w:hint="eastAsia" w:ascii="黑体" w:hAnsi="黑体" w:eastAsia="黑体"/>
          <w:spacing w:val="-11"/>
          <w:highlight w:val="none"/>
          <w:lang w:val="en-US" w:eastAsia="zh-CN"/>
        </w:rPr>
        <w:t>2.</w:t>
      </w:r>
      <w:r>
        <w:rPr>
          <w:rFonts w:hint="eastAsia" w:ascii="黑体" w:hAnsi="黑体" w:eastAsia="黑体"/>
          <w:spacing w:val="-11"/>
          <w:highlight w:val="none"/>
        </w:rPr>
        <w:t>发表或出版年、月指论文或著作的发表或出版时间，以：“2021.03”（例）形式标注</w:t>
      </w:r>
      <w:r>
        <w:rPr>
          <w:rFonts w:hint="eastAsia" w:ascii="黑体" w:hAnsi="黑体" w:eastAsia="黑体"/>
          <w:spacing w:val="-11"/>
          <w:highlight w:val="none"/>
          <w:lang w:eastAsia="zh-CN"/>
        </w:rPr>
        <w:t>；</w:t>
      </w:r>
    </w:p>
    <w:p>
      <w:pPr>
        <w:spacing w:after="0" w:line="240" w:lineRule="auto"/>
        <w:ind w:firstLine="1128" w:firstLineChars="600"/>
        <w:rPr>
          <w:rFonts w:hint="eastAsia" w:ascii="黑体" w:hAnsi="黑体" w:eastAsia="黑体"/>
          <w:spacing w:val="-11"/>
          <w:highlight w:val="none"/>
          <w:lang w:val="en-US" w:eastAsia="zh-CN"/>
        </w:rPr>
      </w:pPr>
      <w:r>
        <w:rPr>
          <w:rFonts w:hint="eastAsia" w:ascii="黑体" w:hAnsi="黑体" w:eastAsia="黑体"/>
          <w:spacing w:val="-11"/>
          <w:highlight w:val="none"/>
          <w:lang w:val="en-US" w:eastAsia="zh-CN"/>
        </w:rPr>
        <w:t>3.</w:t>
      </w:r>
      <w:r>
        <w:rPr>
          <w:rFonts w:hint="eastAsia" w:ascii="黑体" w:hAnsi="黑体" w:eastAsia="黑体"/>
          <w:spacing w:val="-11"/>
          <w:highlight w:val="none"/>
        </w:rPr>
        <w:t>期刊类别：核心刊物一般指北大核心、CSSCI（不含扩展版）、CSCD（不含扩展库）、SCI、EI、SSCI、A&amp;HCI来源期刊视为核心刊物，省级刊物是指省有关部门主办并公开出版的学术刊物和高等学校主办并公开出版的学报</w:t>
      </w:r>
      <w:r>
        <w:rPr>
          <w:rFonts w:hint="eastAsia" w:ascii="黑体" w:hAnsi="黑体" w:eastAsia="黑体"/>
          <w:spacing w:val="-11"/>
          <w:highlight w:val="none"/>
          <w:lang w:eastAsia="zh-CN"/>
        </w:rPr>
        <w:t>。</w:t>
      </w:r>
    </w:p>
    <w:p>
      <w:pPr>
        <w:spacing w:after="0" w:line="240" w:lineRule="auto"/>
        <w:ind w:firstLine="1128" w:firstLineChars="600"/>
        <w:rPr>
          <w:rFonts w:hint="eastAsia" w:ascii="黑体" w:hAnsi="黑体" w:eastAsia="黑体"/>
          <w:spacing w:val="-11"/>
          <w:highlight w:val="none"/>
          <w:lang w:val="en-US" w:eastAsia="zh-CN"/>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
        <w:gridCol w:w="645"/>
        <w:gridCol w:w="2940"/>
        <w:gridCol w:w="1767"/>
        <w:gridCol w:w="2136"/>
        <w:gridCol w:w="840"/>
        <w:gridCol w:w="1293"/>
        <w:gridCol w:w="1086"/>
        <w:gridCol w:w="1351"/>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6" w:type="dxa"/>
            <w:vMerge w:val="restart"/>
            <w:textDirection w:val="tbLrV"/>
            <w:vAlign w:val="center"/>
          </w:tcPr>
          <w:p>
            <w:pPr>
              <w:adjustRightInd w:val="0"/>
              <w:snapToGrid w:val="0"/>
              <w:spacing w:after="0" w:line="240" w:lineRule="auto"/>
              <w:ind w:left="113" w:right="113"/>
              <w:jc w:val="center"/>
              <w:rPr>
                <w:rFonts w:hint="eastAsia" w:ascii="KaiTi_GB2312" w:eastAsia="KaiTi_GB2312"/>
                <w:sz w:val="28"/>
                <w:szCs w:val="28"/>
                <w:highlight w:val="none"/>
                <w:lang w:eastAsia="zh-CN"/>
              </w:rPr>
            </w:pPr>
            <w:r>
              <w:rPr>
                <w:rFonts w:hint="eastAsia" w:ascii="KaiTi_GB2312" w:eastAsia="KaiTi_GB2312"/>
                <w:sz w:val="28"/>
                <w:szCs w:val="28"/>
                <w:highlight w:val="none"/>
              </w:rPr>
              <w:t>承担教学、教改</w:t>
            </w:r>
            <w:r>
              <w:rPr>
                <w:rFonts w:hint="eastAsia" w:ascii="KaiTi_GB2312" w:eastAsia="KaiTi_GB2312"/>
                <w:sz w:val="28"/>
                <w:szCs w:val="28"/>
                <w:highlight w:val="none"/>
                <w:lang w:val="en-US" w:eastAsia="zh-CN"/>
              </w:rPr>
              <w:t>及</w:t>
            </w:r>
            <w:r>
              <w:rPr>
                <w:rFonts w:hint="eastAsia" w:ascii="KaiTi_GB2312" w:eastAsia="KaiTi_GB2312"/>
                <w:sz w:val="28"/>
                <w:szCs w:val="28"/>
                <w:highlight w:val="none"/>
                <w:lang w:eastAsia="zh-CN"/>
              </w:rPr>
              <w:t>科研</w:t>
            </w:r>
          </w:p>
          <w:p>
            <w:pPr>
              <w:adjustRightInd w:val="0"/>
              <w:snapToGrid w:val="0"/>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项目（课题）情况</w:t>
            </w:r>
          </w:p>
        </w:tc>
        <w:tc>
          <w:tcPr>
            <w:tcW w:w="645"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2940"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项目（课题）名称及</w:t>
            </w:r>
            <w:r>
              <w:rPr>
                <w:rFonts w:ascii="KaiTi_GB2312" w:eastAsia="KaiTi_GB2312"/>
                <w:highlight w:val="none"/>
              </w:rPr>
              <w:t>编号</w:t>
            </w:r>
          </w:p>
        </w:tc>
        <w:tc>
          <w:tcPr>
            <w:tcW w:w="176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项目（课题）来源</w:t>
            </w:r>
          </w:p>
        </w:tc>
        <w:tc>
          <w:tcPr>
            <w:tcW w:w="2136"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起止年月</w:t>
            </w:r>
          </w:p>
        </w:tc>
        <w:tc>
          <w:tcPr>
            <w:tcW w:w="840"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级别</w:t>
            </w:r>
          </w:p>
        </w:tc>
        <w:tc>
          <w:tcPr>
            <w:tcW w:w="1293" w:type="dxa"/>
            <w:vAlign w:val="center"/>
          </w:tcPr>
          <w:p>
            <w:pPr>
              <w:spacing w:after="0" w:line="240" w:lineRule="auto"/>
              <w:jc w:val="center"/>
              <w:rPr>
                <w:rFonts w:ascii="KaiTi_GB2312" w:eastAsia="KaiTi_GB2312"/>
                <w:highlight w:val="none"/>
                <w:vertAlign w:val="superscript"/>
              </w:rPr>
            </w:pPr>
            <w:r>
              <w:rPr>
                <w:rFonts w:hint="eastAsia" w:ascii="KaiTi_GB2312" w:eastAsia="KaiTi_GB2312"/>
                <w:highlight w:val="none"/>
              </w:rPr>
              <w:t>主持/参加</w:t>
            </w:r>
          </w:p>
          <w:p>
            <w:pPr>
              <w:spacing w:after="0" w:line="200" w:lineRule="exact"/>
              <w:jc w:val="center"/>
              <w:rPr>
                <w:rFonts w:ascii="楷体" w:hAnsi="楷体" w:eastAsia="KaiTi_GB2312"/>
                <w:highlight w:val="none"/>
              </w:rPr>
            </w:pPr>
            <w:r>
              <w:rPr>
                <w:rFonts w:hint="eastAsia" w:ascii="楷体" w:hAnsi="楷体" w:eastAsia="KaiTi_GB2312"/>
                <w:sz w:val="18"/>
                <w:szCs w:val="20"/>
                <w:highlight w:val="none"/>
              </w:rPr>
              <w:t>（参加需填写本人排名信息）</w:t>
            </w:r>
          </w:p>
        </w:tc>
        <w:tc>
          <w:tcPr>
            <w:tcW w:w="1086"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结题/在研</w:t>
            </w:r>
          </w:p>
        </w:tc>
        <w:tc>
          <w:tcPr>
            <w:tcW w:w="1351"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308"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966" w:type="dxa"/>
            <w:vMerge w:val="continue"/>
          </w:tcPr>
          <w:p>
            <w:pPr>
              <w:spacing w:after="0" w:line="240" w:lineRule="auto"/>
              <w:rPr>
                <w:rFonts w:ascii="KaiTi_GB2312" w:eastAsia="KaiTi_GB2312"/>
                <w:sz w:val="24"/>
                <w:szCs w:val="28"/>
                <w:highlight w:val="none"/>
              </w:rPr>
            </w:pPr>
          </w:p>
        </w:tc>
        <w:tc>
          <w:tcPr>
            <w:tcW w:w="645"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1</w:t>
            </w:r>
          </w:p>
        </w:tc>
        <w:tc>
          <w:tcPr>
            <w:tcW w:w="2940" w:type="dxa"/>
            <w:vAlign w:val="center"/>
          </w:tcPr>
          <w:p>
            <w:pPr>
              <w:spacing w:after="0" w:line="240" w:lineRule="auto"/>
              <w:jc w:val="left"/>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中医药院校医学生职业精神培育研究（D/2020/01/60）</w:t>
            </w:r>
          </w:p>
        </w:tc>
        <w:tc>
          <w:tcPr>
            <w:tcW w:w="1767" w:type="dxa"/>
            <w:vAlign w:val="center"/>
          </w:tcPr>
          <w:p>
            <w:pPr>
              <w:spacing w:after="0" w:line="240" w:lineRule="auto"/>
              <w:jc w:val="left"/>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江苏省教育科学规划课题</w:t>
            </w:r>
          </w:p>
        </w:tc>
        <w:tc>
          <w:tcPr>
            <w:tcW w:w="2136"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2020.01—2021.12</w:t>
            </w:r>
          </w:p>
        </w:tc>
        <w:tc>
          <w:tcPr>
            <w:tcW w:w="840" w:type="dxa"/>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省级</w:t>
            </w:r>
          </w:p>
        </w:tc>
        <w:tc>
          <w:tcPr>
            <w:tcW w:w="1293" w:type="dxa"/>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主持</w:t>
            </w:r>
          </w:p>
        </w:tc>
        <w:tc>
          <w:tcPr>
            <w:tcW w:w="1086" w:type="dxa"/>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结题</w:t>
            </w:r>
          </w:p>
        </w:tc>
        <w:tc>
          <w:tcPr>
            <w:tcW w:w="1351" w:type="dxa"/>
            <w:vAlign w:val="center"/>
          </w:tcPr>
          <w:p>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1308" w:type="dxa"/>
            <w:vAlign w:val="center"/>
          </w:tcPr>
          <w:p>
            <w:pPr>
              <w:spacing w:after="0" w:line="240" w:lineRule="auto"/>
              <w:jc w:val="center"/>
              <w:rPr>
                <w:rFonts w:ascii="KaiTi_GB2312" w:hAnsi="Times New Roman" w:eastAsia="KaiTi_GB2312" w:cs="Times New Roman"/>
                <w:kern w:val="2"/>
                <w:sz w:val="24"/>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trPr>
        <w:tc>
          <w:tcPr>
            <w:tcW w:w="966" w:type="dxa"/>
            <w:vMerge w:val="continue"/>
          </w:tcPr>
          <w:p>
            <w:pPr>
              <w:spacing w:after="0" w:line="240" w:lineRule="auto"/>
              <w:rPr>
                <w:rFonts w:ascii="KaiTi_GB2312" w:eastAsia="KaiTi_GB2312"/>
                <w:sz w:val="24"/>
                <w:szCs w:val="28"/>
                <w:highlight w:val="none"/>
              </w:rPr>
            </w:pPr>
          </w:p>
        </w:tc>
        <w:tc>
          <w:tcPr>
            <w:tcW w:w="645"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w:t>
            </w:r>
          </w:p>
        </w:tc>
        <w:tc>
          <w:tcPr>
            <w:tcW w:w="2940" w:type="dxa"/>
            <w:vAlign w:val="center"/>
          </w:tcPr>
          <w:p>
            <w:pPr>
              <w:spacing w:after="0" w:line="240" w:lineRule="auto"/>
              <w:jc w:val="left"/>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苏北返乡农民工思想政治教育研究（09MLC010）</w:t>
            </w:r>
          </w:p>
        </w:tc>
        <w:tc>
          <w:tcPr>
            <w:tcW w:w="1767" w:type="dxa"/>
            <w:vAlign w:val="center"/>
          </w:tcPr>
          <w:p>
            <w:pPr>
              <w:spacing w:after="0" w:line="240" w:lineRule="auto"/>
              <w:jc w:val="left"/>
              <w:rPr>
                <w:rFonts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江苏省社会科学基金</w:t>
            </w:r>
          </w:p>
        </w:tc>
        <w:tc>
          <w:tcPr>
            <w:tcW w:w="2136"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2009.12—2014.01</w:t>
            </w:r>
          </w:p>
        </w:tc>
        <w:tc>
          <w:tcPr>
            <w:tcW w:w="840" w:type="dxa"/>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省级</w:t>
            </w:r>
          </w:p>
        </w:tc>
        <w:tc>
          <w:tcPr>
            <w:tcW w:w="1293" w:type="dxa"/>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主持</w:t>
            </w:r>
          </w:p>
        </w:tc>
        <w:tc>
          <w:tcPr>
            <w:tcW w:w="1086" w:type="dxa"/>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结题</w:t>
            </w:r>
          </w:p>
        </w:tc>
        <w:tc>
          <w:tcPr>
            <w:tcW w:w="1351" w:type="dxa"/>
            <w:vAlign w:val="center"/>
          </w:tcPr>
          <w:p>
            <w:pPr>
              <w:spacing w:after="0" w:line="240" w:lineRule="auto"/>
              <w:jc w:val="center"/>
              <w:rPr>
                <w:rFonts w:ascii="KaiTi_GB2312" w:hAnsi="Times New Roman" w:eastAsia="KaiTi_GB2312" w:cs="Times New Roman"/>
                <w:color w:val="000000"/>
                <w:kern w:val="2"/>
                <w:sz w:val="21"/>
                <w:szCs w:val="24"/>
                <w:highlight w:val="none"/>
                <w:lang w:val="en-US" w:eastAsia="zh-CN" w:bidi="ar-SA"/>
              </w:rPr>
            </w:pPr>
          </w:p>
        </w:tc>
        <w:tc>
          <w:tcPr>
            <w:tcW w:w="1308" w:type="dxa"/>
            <w:vAlign w:val="center"/>
          </w:tcPr>
          <w:p>
            <w:pPr>
              <w:spacing w:after="0" w:line="240" w:lineRule="auto"/>
              <w:jc w:val="center"/>
              <w:rPr>
                <w:rFonts w:ascii="KaiTi_GB2312" w:hAnsi="Times New Roman" w:eastAsia="KaiTi_GB2312" w:cs="Times New Roman"/>
                <w:kern w:val="2"/>
                <w:sz w:val="21"/>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6" w:type="dxa"/>
            <w:vMerge w:val="continue"/>
          </w:tcPr>
          <w:p>
            <w:pPr>
              <w:spacing w:after="0" w:line="240" w:lineRule="auto"/>
              <w:rPr>
                <w:rFonts w:ascii="KaiTi_GB2312" w:eastAsia="KaiTi_GB2312"/>
                <w:sz w:val="24"/>
                <w:szCs w:val="28"/>
                <w:highlight w:val="none"/>
              </w:rPr>
            </w:pPr>
          </w:p>
        </w:tc>
        <w:tc>
          <w:tcPr>
            <w:tcW w:w="645"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3</w:t>
            </w:r>
          </w:p>
        </w:tc>
        <w:tc>
          <w:tcPr>
            <w:tcW w:w="2940" w:type="dxa"/>
            <w:vAlign w:val="center"/>
          </w:tcPr>
          <w:p>
            <w:pPr>
              <w:spacing w:after="0" w:line="240" w:lineRule="auto"/>
              <w:jc w:val="left"/>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中医文化视角下中医院文化建设研究（SCYG2015-1-16）</w:t>
            </w:r>
          </w:p>
        </w:tc>
        <w:tc>
          <w:tcPr>
            <w:tcW w:w="1767" w:type="dxa"/>
            <w:vAlign w:val="center"/>
          </w:tcPr>
          <w:p>
            <w:pPr>
              <w:spacing w:after="0" w:line="240" w:lineRule="auto"/>
              <w:jc w:val="left"/>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四川省教育厅人文社会科学重点研究基地项目</w:t>
            </w:r>
          </w:p>
        </w:tc>
        <w:tc>
          <w:tcPr>
            <w:tcW w:w="2136" w:type="dxa"/>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2015.06—2017.06</w:t>
            </w:r>
          </w:p>
        </w:tc>
        <w:tc>
          <w:tcPr>
            <w:tcW w:w="840"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厅级</w:t>
            </w:r>
          </w:p>
        </w:tc>
        <w:tc>
          <w:tcPr>
            <w:tcW w:w="1293" w:type="dxa"/>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主持</w:t>
            </w:r>
          </w:p>
        </w:tc>
        <w:tc>
          <w:tcPr>
            <w:tcW w:w="1086" w:type="dxa"/>
            <w:vAlign w:val="center"/>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结题</w:t>
            </w:r>
          </w:p>
        </w:tc>
        <w:tc>
          <w:tcPr>
            <w:tcW w:w="1351" w:type="dxa"/>
            <w:vAlign w:val="center"/>
          </w:tcPr>
          <w:p>
            <w:pPr>
              <w:spacing w:after="0" w:line="240" w:lineRule="auto"/>
              <w:jc w:val="center"/>
              <w:rPr>
                <w:rFonts w:ascii="KaiTi_GB2312" w:eastAsia="KaiTi_GB2312"/>
                <w:sz w:val="24"/>
                <w:szCs w:val="28"/>
                <w:highlight w:val="none"/>
              </w:rPr>
            </w:pPr>
          </w:p>
        </w:tc>
        <w:tc>
          <w:tcPr>
            <w:tcW w:w="130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6" w:type="dxa"/>
            <w:vMerge w:val="continue"/>
          </w:tcPr>
          <w:p>
            <w:pPr>
              <w:spacing w:after="0" w:line="240" w:lineRule="auto"/>
              <w:rPr>
                <w:rFonts w:ascii="KaiTi_GB2312" w:eastAsia="KaiTi_GB2312"/>
                <w:sz w:val="24"/>
                <w:szCs w:val="28"/>
                <w:highlight w:val="none"/>
              </w:rPr>
            </w:pPr>
          </w:p>
        </w:tc>
        <w:tc>
          <w:tcPr>
            <w:tcW w:w="645"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4</w:t>
            </w:r>
          </w:p>
        </w:tc>
        <w:tc>
          <w:tcPr>
            <w:tcW w:w="2940" w:type="dxa"/>
            <w:vAlign w:val="center"/>
          </w:tcPr>
          <w:p>
            <w:pPr>
              <w:spacing w:after="0" w:line="240" w:lineRule="auto"/>
              <w:jc w:val="left"/>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新时代中医药院校医学生奉献精神培育研究（2020SJB0118）</w:t>
            </w:r>
          </w:p>
        </w:tc>
        <w:tc>
          <w:tcPr>
            <w:tcW w:w="1767" w:type="dxa"/>
            <w:vAlign w:val="center"/>
          </w:tcPr>
          <w:p>
            <w:pPr>
              <w:spacing w:after="0" w:line="240" w:lineRule="auto"/>
              <w:jc w:val="left"/>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江苏高校哲学社会科学研究项目思想政治工作专题项目</w:t>
            </w:r>
          </w:p>
        </w:tc>
        <w:tc>
          <w:tcPr>
            <w:tcW w:w="2136" w:type="dxa"/>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2020.06—2024.12</w:t>
            </w:r>
          </w:p>
        </w:tc>
        <w:tc>
          <w:tcPr>
            <w:tcW w:w="840"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厅级</w:t>
            </w:r>
          </w:p>
        </w:tc>
        <w:tc>
          <w:tcPr>
            <w:tcW w:w="1293"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主持</w:t>
            </w:r>
          </w:p>
        </w:tc>
        <w:tc>
          <w:tcPr>
            <w:tcW w:w="1086"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在研</w:t>
            </w:r>
          </w:p>
        </w:tc>
        <w:tc>
          <w:tcPr>
            <w:tcW w:w="1351" w:type="dxa"/>
            <w:vAlign w:val="center"/>
          </w:tcPr>
          <w:p>
            <w:pPr>
              <w:spacing w:after="0" w:line="240" w:lineRule="auto"/>
              <w:jc w:val="center"/>
              <w:rPr>
                <w:rFonts w:ascii="KaiTi_GB2312" w:eastAsia="KaiTi_GB2312"/>
                <w:sz w:val="24"/>
                <w:szCs w:val="28"/>
                <w:highlight w:val="none"/>
              </w:rPr>
            </w:pPr>
          </w:p>
        </w:tc>
        <w:tc>
          <w:tcPr>
            <w:tcW w:w="130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6" w:type="dxa"/>
            <w:vMerge w:val="continue"/>
          </w:tcPr>
          <w:p>
            <w:pPr>
              <w:spacing w:after="0" w:line="240" w:lineRule="auto"/>
              <w:rPr>
                <w:rFonts w:ascii="KaiTi_GB2312" w:eastAsia="KaiTi_GB2312"/>
                <w:sz w:val="24"/>
                <w:szCs w:val="28"/>
                <w:highlight w:val="none"/>
              </w:rPr>
            </w:pPr>
          </w:p>
        </w:tc>
        <w:tc>
          <w:tcPr>
            <w:tcW w:w="645"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5</w:t>
            </w:r>
          </w:p>
        </w:tc>
        <w:tc>
          <w:tcPr>
            <w:tcW w:w="2940" w:type="dxa"/>
            <w:vAlign w:val="center"/>
          </w:tcPr>
          <w:p>
            <w:pPr>
              <w:spacing w:after="0" w:line="240" w:lineRule="auto"/>
              <w:jc w:val="left"/>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民国时期民族学界的“多元”“一体”理论构建研究：以西南地区为视</w:t>
            </w:r>
          </w:p>
          <w:p>
            <w:pPr>
              <w:spacing w:after="0" w:line="240" w:lineRule="auto"/>
              <w:jc w:val="left"/>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角（18YJCZH094)</w:t>
            </w:r>
          </w:p>
          <w:p>
            <w:pPr>
              <w:spacing w:after="0" w:line="240" w:lineRule="auto"/>
              <w:jc w:val="left"/>
              <w:rPr>
                <w:rFonts w:hint="eastAsia" w:ascii="KaiTi_GB2312" w:eastAsia="KaiTi_GB2312"/>
                <w:sz w:val="24"/>
                <w:szCs w:val="28"/>
                <w:highlight w:val="none"/>
                <w:lang w:val="en-US" w:eastAsia="zh-CN"/>
              </w:rPr>
            </w:pPr>
          </w:p>
        </w:tc>
        <w:tc>
          <w:tcPr>
            <w:tcW w:w="1767" w:type="dxa"/>
            <w:vAlign w:val="center"/>
          </w:tcPr>
          <w:p>
            <w:pPr>
              <w:spacing w:after="0" w:line="240" w:lineRule="auto"/>
              <w:jc w:val="left"/>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教育部人文社会科学研究项目</w:t>
            </w:r>
          </w:p>
          <w:p>
            <w:pPr>
              <w:spacing w:after="0" w:line="240" w:lineRule="auto"/>
              <w:jc w:val="left"/>
              <w:rPr>
                <w:rFonts w:hint="eastAsia" w:ascii="KaiTi_GB2312" w:eastAsia="KaiTi_GB2312"/>
                <w:sz w:val="24"/>
                <w:szCs w:val="28"/>
                <w:highlight w:val="none"/>
                <w:lang w:val="en-US" w:eastAsia="zh-CN"/>
              </w:rPr>
            </w:pPr>
          </w:p>
        </w:tc>
        <w:tc>
          <w:tcPr>
            <w:tcW w:w="2136" w:type="dxa"/>
            <w:vAlign w:val="center"/>
          </w:tcPr>
          <w:p>
            <w:pPr>
              <w:spacing w:after="0" w:line="240" w:lineRule="auto"/>
              <w:jc w:val="center"/>
              <w:rPr>
                <w:rFonts w:hint="default" w:ascii="KaiTi_GB2312"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2018.06—2023.06</w:t>
            </w:r>
          </w:p>
        </w:tc>
        <w:tc>
          <w:tcPr>
            <w:tcW w:w="840" w:type="dxa"/>
            <w:vAlign w:val="center"/>
          </w:tcPr>
          <w:p>
            <w:pPr>
              <w:spacing w:after="0" w:line="240" w:lineRule="auto"/>
              <w:jc w:val="center"/>
              <w:rPr>
                <w:rFonts w:hint="default" w:ascii="KaiTi_GB2312" w:eastAsia="KaiTi_GB2312" w:cs="Times New Roman"/>
                <w:kern w:val="2"/>
                <w:sz w:val="24"/>
                <w:szCs w:val="28"/>
                <w:highlight w:val="none"/>
                <w:lang w:val="en-US" w:eastAsia="zh-CN" w:bidi="ar-SA"/>
              </w:rPr>
            </w:pPr>
            <w:r>
              <w:rPr>
                <w:rFonts w:hint="eastAsia" w:ascii="KaiTi_GB2312" w:eastAsia="KaiTi_GB2312" w:cs="Times New Roman"/>
                <w:kern w:val="2"/>
                <w:sz w:val="24"/>
                <w:szCs w:val="28"/>
                <w:highlight w:val="none"/>
                <w:lang w:val="en-US" w:eastAsia="zh-CN" w:bidi="ar-SA"/>
              </w:rPr>
              <w:t>部级</w:t>
            </w:r>
          </w:p>
        </w:tc>
        <w:tc>
          <w:tcPr>
            <w:tcW w:w="1293" w:type="dxa"/>
            <w:vAlign w:val="center"/>
          </w:tcPr>
          <w:p>
            <w:pPr>
              <w:spacing w:after="0" w:line="240" w:lineRule="auto"/>
              <w:jc w:val="center"/>
              <w:rPr>
                <w:rFonts w:hint="default" w:ascii="KaiTi_GB2312" w:eastAsia="KaiTi_GB2312" w:cs="Times New Roman"/>
                <w:kern w:val="2"/>
                <w:sz w:val="24"/>
                <w:szCs w:val="28"/>
                <w:highlight w:val="none"/>
                <w:lang w:val="en-US" w:eastAsia="zh-CN" w:bidi="ar-SA"/>
              </w:rPr>
            </w:pPr>
            <w:r>
              <w:rPr>
                <w:rFonts w:hint="eastAsia" w:ascii="KaiTi_GB2312" w:eastAsia="KaiTi_GB2312" w:cs="Times New Roman"/>
                <w:kern w:val="2"/>
                <w:sz w:val="24"/>
                <w:szCs w:val="28"/>
                <w:highlight w:val="none"/>
                <w:lang w:val="en-US" w:eastAsia="zh-CN" w:bidi="ar-SA"/>
              </w:rPr>
              <w:t>参加，排名第四</w:t>
            </w:r>
          </w:p>
        </w:tc>
        <w:tc>
          <w:tcPr>
            <w:tcW w:w="1086" w:type="dxa"/>
            <w:vAlign w:val="center"/>
          </w:tcPr>
          <w:p>
            <w:pPr>
              <w:spacing w:after="0" w:line="240" w:lineRule="auto"/>
              <w:jc w:val="center"/>
              <w:rPr>
                <w:rFonts w:hint="default" w:ascii="KaiTi_GB2312" w:eastAsia="KaiTi_GB2312" w:cs="Times New Roman"/>
                <w:kern w:val="2"/>
                <w:sz w:val="24"/>
                <w:szCs w:val="28"/>
                <w:highlight w:val="none"/>
                <w:lang w:val="en-US" w:eastAsia="zh-CN" w:bidi="ar-SA"/>
              </w:rPr>
            </w:pPr>
            <w:r>
              <w:rPr>
                <w:rFonts w:hint="eastAsia" w:ascii="KaiTi_GB2312" w:eastAsia="KaiTi_GB2312" w:cs="Times New Roman"/>
                <w:kern w:val="2"/>
                <w:sz w:val="24"/>
                <w:szCs w:val="28"/>
                <w:highlight w:val="none"/>
                <w:lang w:val="en-US" w:eastAsia="zh-CN" w:bidi="ar-SA"/>
              </w:rPr>
              <w:t>结题</w:t>
            </w:r>
          </w:p>
        </w:tc>
        <w:tc>
          <w:tcPr>
            <w:tcW w:w="1351" w:type="dxa"/>
            <w:vAlign w:val="center"/>
          </w:tcPr>
          <w:p>
            <w:pPr>
              <w:spacing w:after="0" w:line="240" w:lineRule="auto"/>
              <w:jc w:val="center"/>
              <w:rPr>
                <w:rFonts w:ascii="KaiTi_GB2312" w:hAnsi="Times New Roman" w:eastAsia="KaiTi_GB2312" w:cs="Times New Roman"/>
                <w:color w:val="000000"/>
                <w:kern w:val="2"/>
                <w:sz w:val="21"/>
                <w:szCs w:val="24"/>
                <w:highlight w:val="none"/>
                <w:lang w:val="en-US" w:eastAsia="zh-CN" w:bidi="ar-SA"/>
              </w:rPr>
            </w:pPr>
          </w:p>
        </w:tc>
        <w:tc>
          <w:tcPr>
            <w:tcW w:w="1308" w:type="dxa"/>
            <w:vAlign w:val="center"/>
          </w:tcPr>
          <w:p>
            <w:pPr>
              <w:spacing w:after="0" w:line="240" w:lineRule="auto"/>
              <w:jc w:val="center"/>
              <w:rPr>
                <w:rFonts w:ascii="KaiTi_GB2312" w:hAnsi="Times New Roman" w:eastAsia="KaiTi_GB2312" w:cs="Times New Roman"/>
                <w:kern w:val="2"/>
                <w:sz w:val="21"/>
                <w:szCs w:val="24"/>
                <w:highlight w:val="none"/>
                <w:lang w:val="en-US" w:eastAsia="zh-CN" w:bidi="ar-SA"/>
              </w:rPr>
            </w:pPr>
          </w:p>
        </w:tc>
      </w:tr>
    </w:tbl>
    <w:p>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本年度专业技术职务申报者提交的任现职以来的教学</w:t>
      </w:r>
      <w:r>
        <w:rPr>
          <w:rFonts w:hint="eastAsia" w:ascii="黑体" w:hAnsi="黑体" w:eastAsia="黑体"/>
          <w:spacing w:val="-11"/>
          <w:highlight w:val="none"/>
          <w:lang w:eastAsia="zh-CN"/>
        </w:rPr>
        <w:t>、</w:t>
      </w:r>
      <w:r>
        <w:rPr>
          <w:rFonts w:hint="eastAsia" w:ascii="黑体" w:hAnsi="黑体" w:eastAsia="黑体"/>
          <w:spacing w:val="-11"/>
          <w:highlight w:val="none"/>
          <w:lang w:val="en-US" w:eastAsia="zh-CN"/>
        </w:rPr>
        <w:t>教改</w:t>
      </w:r>
      <w:r>
        <w:rPr>
          <w:rFonts w:hint="eastAsia" w:ascii="黑体" w:hAnsi="黑体" w:eastAsia="黑体"/>
          <w:spacing w:val="-11"/>
          <w:highlight w:val="none"/>
        </w:rPr>
        <w:t>及科研代表性</w:t>
      </w:r>
      <w:r>
        <w:rPr>
          <w:rFonts w:hint="eastAsia" w:ascii="黑体" w:hAnsi="黑体" w:eastAsia="黑体"/>
          <w:spacing w:val="-11"/>
          <w:highlight w:val="none"/>
          <w:lang w:val="en-US" w:eastAsia="zh-CN"/>
        </w:rPr>
        <w:t>项目</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前5项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left="1316" w:hanging="1316" w:hangingChars="700"/>
        <w:rPr>
          <w:rFonts w:hint="eastAsia" w:ascii="黑体" w:hAnsi="黑体" w:eastAsia="黑体"/>
          <w:spacing w:val="-11"/>
          <w:highlight w:val="none"/>
          <w:lang w:eastAsia="zh-CN"/>
        </w:rPr>
      </w:pPr>
    </w:p>
    <w:p>
      <w:pPr>
        <w:spacing w:after="0" w:line="240" w:lineRule="auto"/>
        <w:ind w:left="1316" w:hanging="1316" w:hangingChars="700"/>
        <w:rPr>
          <w:rFonts w:hint="eastAsia" w:ascii="黑体" w:hAnsi="黑体" w:eastAsia="黑体"/>
          <w:spacing w:val="-11"/>
          <w:highlight w:val="none"/>
          <w:lang w:eastAsia="zh-CN"/>
        </w:rPr>
      </w:pPr>
    </w:p>
    <w:p>
      <w:pPr>
        <w:spacing w:after="0" w:line="240" w:lineRule="auto"/>
        <w:ind w:left="1316" w:hanging="1316" w:hangingChars="700"/>
        <w:rPr>
          <w:rFonts w:hint="eastAsia" w:ascii="黑体" w:hAnsi="黑体" w:eastAsia="黑体"/>
          <w:spacing w:val="-11"/>
          <w:highlight w:val="none"/>
          <w:lang w:eastAsia="zh-CN"/>
        </w:rPr>
      </w:pPr>
    </w:p>
    <w:p>
      <w:pPr>
        <w:spacing w:after="0" w:line="240" w:lineRule="auto"/>
        <w:ind w:left="1316" w:hanging="1316" w:hangingChars="700"/>
        <w:rPr>
          <w:rFonts w:hint="eastAsia" w:ascii="黑体" w:hAnsi="黑体" w:eastAsia="黑体"/>
          <w:spacing w:val="-11"/>
          <w:highlight w:val="none"/>
          <w:lang w:eastAsia="zh-CN"/>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8"/>
        <w:gridCol w:w="497"/>
        <w:gridCol w:w="1787"/>
        <w:gridCol w:w="918"/>
        <w:gridCol w:w="1784"/>
        <w:gridCol w:w="1049"/>
        <w:gridCol w:w="713"/>
        <w:gridCol w:w="1509"/>
        <w:gridCol w:w="1440"/>
        <w:gridCol w:w="1336"/>
        <w:gridCol w:w="948"/>
        <w:gridCol w:w="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388" w:type="dxa"/>
            <w:vMerge w:val="restart"/>
            <w:textDirection w:val="tbLrV"/>
            <w:vAlign w:val="center"/>
          </w:tcPr>
          <w:p>
            <w:pPr>
              <w:spacing w:after="0" w:line="240" w:lineRule="auto"/>
              <w:ind w:left="113" w:right="113"/>
              <w:jc w:val="center"/>
              <w:rPr>
                <w:sz w:val="28"/>
                <w:highlight w:val="none"/>
              </w:rPr>
            </w:pPr>
            <w:r>
              <w:rPr>
                <w:rFonts w:hint="eastAsia" w:ascii="KaiTi_GB2312" w:eastAsia="KaiTi_GB2312"/>
                <w:sz w:val="28"/>
                <w:szCs w:val="28"/>
                <w:highlight w:val="none"/>
              </w:rPr>
              <w:t>专利授权及转化情况</w:t>
            </w:r>
          </w:p>
        </w:tc>
        <w:tc>
          <w:tcPr>
            <w:tcW w:w="49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178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专利名称</w:t>
            </w:r>
          </w:p>
        </w:tc>
        <w:tc>
          <w:tcPr>
            <w:tcW w:w="918"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授权国</w:t>
            </w:r>
          </w:p>
        </w:tc>
        <w:tc>
          <w:tcPr>
            <w:tcW w:w="1784"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授权号</w:t>
            </w:r>
          </w:p>
        </w:tc>
        <w:tc>
          <w:tcPr>
            <w:tcW w:w="1049"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授权时间</w:t>
            </w:r>
          </w:p>
        </w:tc>
        <w:tc>
          <w:tcPr>
            <w:tcW w:w="713"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本人排名</w:t>
            </w:r>
          </w:p>
        </w:tc>
        <w:tc>
          <w:tcPr>
            <w:tcW w:w="1509"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所有发明人</w:t>
            </w:r>
          </w:p>
        </w:tc>
        <w:tc>
          <w:tcPr>
            <w:tcW w:w="1440"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申请单位</w:t>
            </w:r>
          </w:p>
        </w:tc>
        <w:tc>
          <w:tcPr>
            <w:tcW w:w="1336"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hint="eastAsia" w:ascii="KaiTi_GB2312" w:eastAsia="KaiTi_GB2312"/>
                <w:highlight w:val="none"/>
                <w:lang w:eastAsia="zh-CN"/>
              </w:rPr>
            </w:pPr>
            <w:r>
              <w:rPr>
                <w:rFonts w:hint="eastAsia" w:ascii="KaiTi_GB2312" w:eastAsia="KaiTi_GB2312"/>
                <w:highlight w:val="none"/>
              </w:rPr>
              <w:t>是否转化</w:t>
            </w:r>
            <w:r>
              <w:rPr>
                <w:rFonts w:hint="eastAsia" w:ascii="KaiTi_GB2312" w:eastAsia="KaiTi_GB2312"/>
                <w:b/>
                <w:bCs/>
                <w:highlight w:val="none"/>
                <w:vertAlign w:val="superscript"/>
                <w:lang w:val="en-US" w:eastAsia="zh-CN"/>
              </w:rPr>
              <w:t>6</w:t>
            </w:r>
          </w:p>
        </w:tc>
        <w:tc>
          <w:tcPr>
            <w:tcW w:w="948"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957"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9" w:hRule="atLeast"/>
          <w:jc w:val="center"/>
        </w:trPr>
        <w:tc>
          <w:tcPr>
            <w:tcW w:w="1388" w:type="dxa"/>
            <w:vMerge w:val="continue"/>
          </w:tcPr>
          <w:p>
            <w:pPr>
              <w:spacing w:after="0" w:line="240" w:lineRule="auto"/>
              <w:rPr>
                <w:highlight w:val="none"/>
              </w:rPr>
            </w:pPr>
          </w:p>
        </w:tc>
        <w:tc>
          <w:tcPr>
            <w:tcW w:w="497"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1</w:t>
            </w:r>
          </w:p>
        </w:tc>
        <w:tc>
          <w:tcPr>
            <w:tcW w:w="1787" w:type="dxa"/>
            <w:vAlign w:val="center"/>
          </w:tcPr>
          <w:p>
            <w:pPr>
              <w:spacing w:after="0" w:line="240" w:lineRule="auto"/>
              <w:jc w:val="center"/>
              <w:rPr>
                <w:highlight w:val="none"/>
              </w:rPr>
            </w:pPr>
          </w:p>
        </w:tc>
        <w:tc>
          <w:tcPr>
            <w:tcW w:w="918" w:type="dxa"/>
            <w:vAlign w:val="center"/>
          </w:tcPr>
          <w:p>
            <w:pPr>
              <w:spacing w:after="0" w:line="240" w:lineRule="auto"/>
              <w:jc w:val="center"/>
              <w:rPr>
                <w:highlight w:val="none"/>
              </w:rPr>
            </w:pPr>
          </w:p>
        </w:tc>
        <w:tc>
          <w:tcPr>
            <w:tcW w:w="1784" w:type="dxa"/>
            <w:vAlign w:val="center"/>
          </w:tcPr>
          <w:p>
            <w:pPr>
              <w:spacing w:after="0" w:line="240" w:lineRule="auto"/>
              <w:jc w:val="center"/>
              <w:rPr>
                <w:highlight w:val="none"/>
              </w:rPr>
            </w:pPr>
          </w:p>
        </w:tc>
        <w:tc>
          <w:tcPr>
            <w:tcW w:w="1049" w:type="dxa"/>
            <w:vAlign w:val="center"/>
          </w:tcPr>
          <w:p>
            <w:pPr>
              <w:spacing w:after="0" w:line="240" w:lineRule="auto"/>
              <w:jc w:val="center"/>
              <w:rPr>
                <w:highlight w:val="none"/>
              </w:rPr>
            </w:pPr>
          </w:p>
        </w:tc>
        <w:tc>
          <w:tcPr>
            <w:tcW w:w="713" w:type="dxa"/>
            <w:vAlign w:val="center"/>
          </w:tcPr>
          <w:p>
            <w:pPr>
              <w:spacing w:after="0" w:line="240" w:lineRule="auto"/>
              <w:jc w:val="center"/>
              <w:rPr>
                <w:highlight w:val="none"/>
              </w:rPr>
            </w:pPr>
          </w:p>
        </w:tc>
        <w:tc>
          <w:tcPr>
            <w:tcW w:w="1509"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36" w:type="dxa"/>
            <w:vAlign w:val="center"/>
          </w:tcPr>
          <w:p>
            <w:pPr>
              <w:spacing w:after="0" w:line="240" w:lineRule="auto"/>
              <w:jc w:val="center"/>
              <w:rPr>
                <w:highlight w:val="none"/>
              </w:rPr>
            </w:pPr>
          </w:p>
        </w:tc>
        <w:tc>
          <w:tcPr>
            <w:tcW w:w="948" w:type="dxa"/>
            <w:vAlign w:val="center"/>
          </w:tcPr>
          <w:p>
            <w:pPr>
              <w:spacing w:after="0" w:line="240" w:lineRule="auto"/>
              <w:jc w:val="center"/>
              <w:rPr>
                <w:rFonts w:ascii="KaiTi_GB2312" w:eastAsia="KaiTi_GB2312"/>
                <w:color w:val="000000"/>
                <w:highlight w:val="none"/>
              </w:rPr>
            </w:pPr>
          </w:p>
        </w:tc>
        <w:tc>
          <w:tcPr>
            <w:tcW w:w="957"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388" w:type="dxa"/>
            <w:vMerge w:val="continue"/>
          </w:tcPr>
          <w:p>
            <w:pPr>
              <w:spacing w:after="0" w:line="240" w:lineRule="auto"/>
              <w:rPr>
                <w:highlight w:val="none"/>
              </w:rPr>
            </w:pPr>
          </w:p>
        </w:tc>
        <w:tc>
          <w:tcPr>
            <w:tcW w:w="497"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2</w:t>
            </w:r>
          </w:p>
        </w:tc>
        <w:tc>
          <w:tcPr>
            <w:tcW w:w="1787" w:type="dxa"/>
            <w:vAlign w:val="center"/>
          </w:tcPr>
          <w:p>
            <w:pPr>
              <w:spacing w:after="0" w:line="240" w:lineRule="auto"/>
              <w:jc w:val="center"/>
              <w:rPr>
                <w:highlight w:val="none"/>
              </w:rPr>
            </w:pPr>
          </w:p>
        </w:tc>
        <w:tc>
          <w:tcPr>
            <w:tcW w:w="918" w:type="dxa"/>
            <w:vAlign w:val="center"/>
          </w:tcPr>
          <w:p>
            <w:pPr>
              <w:spacing w:after="0" w:line="240" w:lineRule="auto"/>
              <w:jc w:val="center"/>
              <w:rPr>
                <w:highlight w:val="none"/>
              </w:rPr>
            </w:pPr>
          </w:p>
        </w:tc>
        <w:tc>
          <w:tcPr>
            <w:tcW w:w="1784" w:type="dxa"/>
            <w:vAlign w:val="center"/>
          </w:tcPr>
          <w:p>
            <w:pPr>
              <w:spacing w:after="0" w:line="240" w:lineRule="auto"/>
              <w:jc w:val="center"/>
              <w:rPr>
                <w:highlight w:val="none"/>
              </w:rPr>
            </w:pPr>
          </w:p>
        </w:tc>
        <w:tc>
          <w:tcPr>
            <w:tcW w:w="1049" w:type="dxa"/>
            <w:vAlign w:val="center"/>
          </w:tcPr>
          <w:p>
            <w:pPr>
              <w:spacing w:after="0" w:line="240" w:lineRule="auto"/>
              <w:jc w:val="center"/>
              <w:rPr>
                <w:highlight w:val="none"/>
              </w:rPr>
            </w:pPr>
          </w:p>
        </w:tc>
        <w:tc>
          <w:tcPr>
            <w:tcW w:w="713" w:type="dxa"/>
            <w:vAlign w:val="center"/>
          </w:tcPr>
          <w:p>
            <w:pPr>
              <w:spacing w:after="0" w:line="240" w:lineRule="auto"/>
              <w:jc w:val="center"/>
              <w:rPr>
                <w:highlight w:val="none"/>
              </w:rPr>
            </w:pPr>
          </w:p>
        </w:tc>
        <w:tc>
          <w:tcPr>
            <w:tcW w:w="1509"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36" w:type="dxa"/>
            <w:vAlign w:val="center"/>
          </w:tcPr>
          <w:p>
            <w:pPr>
              <w:spacing w:after="0" w:line="240" w:lineRule="auto"/>
              <w:jc w:val="center"/>
              <w:rPr>
                <w:highlight w:val="none"/>
              </w:rPr>
            </w:pPr>
          </w:p>
        </w:tc>
        <w:tc>
          <w:tcPr>
            <w:tcW w:w="948" w:type="dxa"/>
            <w:vAlign w:val="center"/>
          </w:tcPr>
          <w:p>
            <w:pPr>
              <w:spacing w:after="0" w:line="240" w:lineRule="auto"/>
              <w:jc w:val="center"/>
              <w:rPr>
                <w:highlight w:val="none"/>
              </w:rPr>
            </w:pPr>
          </w:p>
        </w:tc>
        <w:tc>
          <w:tcPr>
            <w:tcW w:w="957" w:type="dxa"/>
            <w:vAlign w:val="center"/>
          </w:tcPr>
          <w:p>
            <w:pPr>
              <w:spacing w:after="0"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388" w:type="dxa"/>
            <w:vMerge w:val="continue"/>
          </w:tcPr>
          <w:p>
            <w:pPr>
              <w:spacing w:after="0" w:line="240" w:lineRule="auto"/>
              <w:rPr>
                <w:highlight w:val="none"/>
              </w:rPr>
            </w:pPr>
          </w:p>
        </w:tc>
        <w:tc>
          <w:tcPr>
            <w:tcW w:w="497"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3</w:t>
            </w:r>
          </w:p>
        </w:tc>
        <w:tc>
          <w:tcPr>
            <w:tcW w:w="1787" w:type="dxa"/>
            <w:vAlign w:val="center"/>
          </w:tcPr>
          <w:p>
            <w:pPr>
              <w:spacing w:after="0" w:line="240" w:lineRule="auto"/>
              <w:jc w:val="center"/>
              <w:rPr>
                <w:highlight w:val="none"/>
              </w:rPr>
            </w:pPr>
          </w:p>
        </w:tc>
        <w:tc>
          <w:tcPr>
            <w:tcW w:w="918" w:type="dxa"/>
            <w:vAlign w:val="center"/>
          </w:tcPr>
          <w:p>
            <w:pPr>
              <w:spacing w:after="0" w:line="240" w:lineRule="auto"/>
              <w:jc w:val="center"/>
              <w:rPr>
                <w:highlight w:val="none"/>
              </w:rPr>
            </w:pPr>
          </w:p>
        </w:tc>
        <w:tc>
          <w:tcPr>
            <w:tcW w:w="1784" w:type="dxa"/>
            <w:vAlign w:val="center"/>
          </w:tcPr>
          <w:p>
            <w:pPr>
              <w:spacing w:after="0" w:line="240" w:lineRule="auto"/>
              <w:jc w:val="center"/>
              <w:rPr>
                <w:highlight w:val="none"/>
              </w:rPr>
            </w:pPr>
          </w:p>
        </w:tc>
        <w:tc>
          <w:tcPr>
            <w:tcW w:w="1049" w:type="dxa"/>
            <w:vAlign w:val="center"/>
          </w:tcPr>
          <w:p>
            <w:pPr>
              <w:spacing w:after="0" w:line="240" w:lineRule="auto"/>
              <w:jc w:val="center"/>
              <w:rPr>
                <w:highlight w:val="none"/>
              </w:rPr>
            </w:pPr>
          </w:p>
        </w:tc>
        <w:tc>
          <w:tcPr>
            <w:tcW w:w="713" w:type="dxa"/>
            <w:vAlign w:val="center"/>
          </w:tcPr>
          <w:p>
            <w:pPr>
              <w:spacing w:after="0" w:line="240" w:lineRule="auto"/>
              <w:jc w:val="center"/>
              <w:rPr>
                <w:highlight w:val="none"/>
              </w:rPr>
            </w:pPr>
          </w:p>
        </w:tc>
        <w:tc>
          <w:tcPr>
            <w:tcW w:w="1509"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36" w:type="dxa"/>
            <w:vAlign w:val="center"/>
          </w:tcPr>
          <w:p>
            <w:pPr>
              <w:spacing w:after="0" w:line="240" w:lineRule="auto"/>
              <w:jc w:val="center"/>
              <w:rPr>
                <w:highlight w:val="none"/>
              </w:rPr>
            </w:pPr>
          </w:p>
        </w:tc>
        <w:tc>
          <w:tcPr>
            <w:tcW w:w="948" w:type="dxa"/>
            <w:vAlign w:val="center"/>
          </w:tcPr>
          <w:p>
            <w:pPr>
              <w:spacing w:after="0" w:line="240" w:lineRule="auto"/>
              <w:jc w:val="center"/>
              <w:rPr>
                <w:highlight w:val="none"/>
              </w:rPr>
            </w:pPr>
          </w:p>
        </w:tc>
        <w:tc>
          <w:tcPr>
            <w:tcW w:w="957" w:type="dxa"/>
            <w:vAlign w:val="center"/>
          </w:tcPr>
          <w:p>
            <w:pPr>
              <w:spacing w:after="0" w:line="240" w:lineRule="auto"/>
              <w:jc w:val="center"/>
              <w:rPr>
                <w:highlight w:val="none"/>
              </w:rPr>
            </w:pPr>
          </w:p>
        </w:tc>
      </w:tr>
    </w:tbl>
    <w:p>
      <w:pPr>
        <w:spacing w:after="0" w:line="20" w:lineRule="exact"/>
        <w:rPr>
          <w:sz w:val="2"/>
          <w:szCs w:val="2"/>
          <w:highlight w:val="none"/>
        </w:rPr>
      </w:pPr>
    </w:p>
    <w:p>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专利授权及转化代表性成果</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前3项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left="1316" w:hanging="1316" w:hangingChars="700"/>
        <w:rPr>
          <w:rFonts w:hint="eastAsia" w:ascii="黑体" w:hAnsi="黑体" w:eastAsia="黑体"/>
          <w:spacing w:val="-11"/>
          <w:highlight w:val="none"/>
          <w:lang w:eastAsia="zh-CN"/>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638"/>
        <w:gridCol w:w="5507"/>
        <w:gridCol w:w="1353"/>
        <w:gridCol w:w="1440"/>
        <w:gridCol w:w="1440"/>
        <w:gridCol w:w="1350"/>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247" w:type="dxa"/>
            <w:vMerge w:val="restart"/>
            <w:textDirection w:val="tbLrV"/>
            <w:vAlign w:val="center"/>
          </w:tcPr>
          <w:p>
            <w:pPr>
              <w:spacing w:after="0" w:line="240" w:lineRule="auto"/>
              <w:ind w:left="1316" w:hanging="1316" w:hangingChars="700"/>
              <w:rPr>
                <w:rFonts w:ascii="KaiTi_GB2312" w:eastAsia="KaiTi_GB2312"/>
                <w:sz w:val="28"/>
                <w:szCs w:val="28"/>
                <w:highlight w:val="none"/>
              </w:rPr>
            </w:pPr>
            <w:r>
              <w:rPr>
                <w:rFonts w:hint="eastAsia" w:ascii="黑体" w:hAnsi="黑体" w:eastAsia="黑体"/>
                <w:spacing w:val="-11"/>
                <w:highlight w:val="none"/>
                <w:lang w:val="en-US" w:eastAsia="zh-CN"/>
              </w:rPr>
              <w:t xml:space="preserve">  </w:t>
            </w:r>
            <w:r>
              <w:rPr>
                <w:rFonts w:hint="eastAsia" w:ascii="KaiTi_GB2312" w:eastAsia="KaiTi_GB2312"/>
                <w:sz w:val="28"/>
                <w:szCs w:val="28"/>
                <w:highlight w:val="none"/>
              </w:rPr>
              <w:t>科技成果转化情况</w:t>
            </w:r>
          </w:p>
        </w:tc>
        <w:tc>
          <w:tcPr>
            <w:tcW w:w="638"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550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项目（课题）名称</w:t>
            </w:r>
          </w:p>
        </w:tc>
        <w:tc>
          <w:tcPr>
            <w:tcW w:w="1353"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合同经费</w:t>
            </w:r>
          </w:p>
        </w:tc>
        <w:tc>
          <w:tcPr>
            <w:tcW w:w="1440" w:type="dxa"/>
            <w:vAlign w:val="center"/>
          </w:tcPr>
          <w:p>
            <w:pPr>
              <w:spacing w:after="0" w:line="240" w:lineRule="auto"/>
              <w:jc w:val="center"/>
              <w:rPr>
                <w:rFonts w:ascii="KaiTi_GB2312" w:eastAsia="KaiTi_GB2312"/>
                <w:highlight w:val="none"/>
              </w:rPr>
            </w:pPr>
            <w:r>
              <w:rPr>
                <w:rFonts w:hint="eastAsia" w:ascii="KaiTi_GB2312" w:eastAsia="KaiTi_GB2312"/>
                <w:sz w:val="20"/>
                <w:szCs w:val="22"/>
                <w:highlight w:val="none"/>
              </w:rPr>
              <w:t>已到账经费/单项最高到账经费（万元）</w:t>
            </w:r>
          </w:p>
        </w:tc>
        <w:tc>
          <w:tcPr>
            <w:tcW w:w="1440" w:type="dxa"/>
            <w:vAlign w:val="center"/>
          </w:tcPr>
          <w:p>
            <w:pPr>
              <w:spacing w:after="0" w:line="240" w:lineRule="auto"/>
              <w:jc w:val="center"/>
              <w:rPr>
                <w:rFonts w:ascii="KaiTi_GB2312" w:eastAsia="KaiTi_GB2312"/>
                <w:highlight w:val="none"/>
                <w:vertAlign w:val="superscript"/>
              </w:rPr>
            </w:pPr>
            <w:r>
              <w:rPr>
                <w:rFonts w:hint="eastAsia" w:ascii="KaiTi_GB2312" w:eastAsia="KaiTi_GB2312"/>
                <w:highlight w:val="none"/>
              </w:rPr>
              <w:t>主持/参加</w:t>
            </w:r>
          </w:p>
          <w:p>
            <w:pPr>
              <w:spacing w:after="0" w:line="240" w:lineRule="auto"/>
              <w:jc w:val="center"/>
              <w:rPr>
                <w:rFonts w:ascii="KaiTi_GB2312" w:eastAsia="KaiTi_GB2312"/>
                <w:highlight w:val="none"/>
              </w:rPr>
            </w:pPr>
            <w:r>
              <w:rPr>
                <w:rFonts w:hint="eastAsia" w:ascii="楷体" w:hAnsi="楷体" w:eastAsia="KaiTi_GB2312"/>
                <w:sz w:val="18"/>
                <w:szCs w:val="20"/>
                <w:highlight w:val="none"/>
              </w:rPr>
              <w:t>（参加需填写本人排名信息）</w:t>
            </w:r>
          </w:p>
        </w:tc>
        <w:tc>
          <w:tcPr>
            <w:tcW w:w="1350"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351"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47" w:type="dxa"/>
            <w:vMerge w:val="continue"/>
          </w:tcPr>
          <w:p>
            <w:pPr>
              <w:adjustRightInd w:val="0"/>
              <w:snapToGrid w:val="0"/>
              <w:spacing w:after="0" w:line="240" w:lineRule="auto"/>
              <w:jc w:val="center"/>
              <w:rPr>
                <w:rFonts w:ascii="KaiTi_GB2312" w:eastAsia="KaiTi_GB2312"/>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1</w:t>
            </w:r>
          </w:p>
        </w:tc>
        <w:tc>
          <w:tcPr>
            <w:tcW w:w="5507" w:type="dxa"/>
            <w:vAlign w:val="center"/>
          </w:tcPr>
          <w:p>
            <w:pPr>
              <w:spacing w:after="0" w:line="240" w:lineRule="auto"/>
              <w:jc w:val="center"/>
              <w:rPr>
                <w:highlight w:val="none"/>
              </w:rPr>
            </w:pPr>
          </w:p>
        </w:tc>
        <w:tc>
          <w:tcPr>
            <w:tcW w:w="1353"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50" w:type="dxa"/>
            <w:vAlign w:val="center"/>
          </w:tcPr>
          <w:p>
            <w:pPr>
              <w:spacing w:after="0" w:line="240" w:lineRule="auto"/>
              <w:jc w:val="center"/>
              <w:rPr>
                <w:rFonts w:ascii="KaiTi_GB2312" w:eastAsia="KaiTi_GB2312"/>
                <w:color w:val="000000"/>
                <w:highlight w:val="none"/>
              </w:rPr>
            </w:pPr>
          </w:p>
        </w:tc>
        <w:tc>
          <w:tcPr>
            <w:tcW w:w="1351"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247" w:type="dxa"/>
            <w:vMerge w:val="continue"/>
          </w:tcPr>
          <w:p>
            <w:pPr>
              <w:adjustRightInd w:val="0"/>
              <w:snapToGrid w:val="0"/>
              <w:spacing w:after="0" w:line="240" w:lineRule="auto"/>
              <w:jc w:val="center"/>
              <w:rPr>
                <w:rFonts w:ascii="KaiTi_GB2312" w:eastAsia="KaiTi_GB2312"/>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2</w:t>
            </w:r>
          </w:p>
        </w:tc>
        <w:tc>
          <w:tcPr>
            <w:tcW w:w="5507" w:type="dxa"/>
            <w:vAlign w:val="center"/>
          </w:tcPr>
          <w:p>
            <w:pPr>
              <w:spacing w:after="0" w:line="240" w:lineRule="auto"/>
              <w:jc w:val="center"/>
              <w:rPr>
                <w:highlight w:val="none"/>
              </w:rPr>
            </w:pPr>
          </w:p>
        </w:tc>
        <w:tc>
          <w:tcPr>
            <w:tcW w:w="1353"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50" w:type="dxa"/>
            <w:vAlign w:val="center"/>
          </w:tcPr>
          <w:p>
            <w:pPr>
              <w:spacing w:after="0" w:line="240" w:lineRule="auto"/>
              <w:jc w:val="center"/>
              <w:rPr>
                <w:highlight w:val="none"/>
              </w:rPr>
            </w:pPr>
          </w:p>
        </w:tc>
        <w:tc>
          <w:tcPr>
            <w:tcW w:w="1351" w:type="dxa"/>
            <w:vAlign w:val="center"/>
          </w:tcPr>
          <w:p>
            <w:pPr>
              <w:spacing w:after="0"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continue"/>
          </w:tcPr>
          <w:p>
            <w:pPr>
              <w:adjustRightInd w:val="0"/>
              <w:snapToGrid w:val="0"/>
              <w:spacing w:after="0" w:line="240" w:lineRule="auto"/>
              <w:jc w:val="center"/>
              <w:rPr>
                <w:rFonts w:ascii="KaiTi_GB2312" w:eastAsia="KaiTi_GB2312"/>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3</w:t>
            </w:r>
          </w:p>
        </w:tc>
        <w:tc>
          <w:tcPr>
            <w:tcW w:w="5507" w:type="dxa"/>
            <w:vAlign w:val="center"/>
          </w:tcPr>
          <w:p>
            <w:pPr>
              <w:spacing w:after="0" w:line="240" w:lineRule="auto"/>
              <w:jc w:val="center"/>
              <w:rPr>
                <w:highlight w:val="none"/>
              </w:rPr>
            </w:pPr>
          </w:p>
        </w:tc>
        <w:tc>
          <w:tcPr>
            <w:tcW w:w="1353"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50" w:type="dxa"/>
            <w:vAlign w:val="center"/>
          </w:tcPr>
          <w:p>
            <w:pPr>
              <w:spacing w:after="0" w:line="240" w:lineRule="auto"/>
              <w:jc w:val="center"/>
              <w:rPr>
                <w:highlight w:val="none"/>
              </w:rPr>
            </w:pPr>
          </w:p>
        </w:tc>
        <w:tc>
          <w:tcPr>
            <w:tcW w:w="1351" w:type="dxa"/>
            <w:vAlign w:val="center"/>
          </w:tcPr>
          <w:p>
            <w:pPr>
              <w:spacing w:after="0" w:line="240" w:lineRule="auto"/>
              <w:jc w:val="center"/>
              <w:rPr>
                <w:highlight w:val="none"/>
              </w:rPr>
            </w:pPr>
          </w:p>
        </w:tc>
      </w:tr>
    </w:tbl>
    <w:p>
      <w:pPr>
        <w:spacing w:after="0" w:line="240" w:lineRule="auto"/>
        <w:ind w:left="1316" w:hanging="1316" w:hangingChars="700"/>
        <w:rPr>
          <w:rFonts w:hint="eastAsia" w:ascii="黑体" w:hAnsi="黑体" w:eastAsia="黑体"/>
          <w:spacing w:val="-11"/>
          <w:highlight w:val="none"/>
          <w:lang w:val="en-US"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科技成果转化</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前3项</w:t>
      </w:r>
      <w:r>
        <w:rPr>
          <w:rFonts w:hint="eastAsia" w:ascii="黑体" w:hAnsi="黑体" w:eastAsia="黑体"/>
          <w:spacing w:val="-11"/>
          <w:highlight w:val="none"/>
        </w:rPr>
        <w:t>为准</w:t>
      </w:r>
      <w:r>
        <w:rPr>
          <w:rFonts w:hint="eastAsia" w:ascii="黑体" w:hAnsi="黑体" w:eastAsia="黑体"/>
          <w:spacing w:val="-11"/>
          <w:highlight w:val="none"/>
          <w:lang w:val="en-US" w:eastAsia="zh-CN"/>
        </w:rPr>
        <w:t>。</w:t>
      </w:r>
    </w:p>
    <w:p>
      <w:pPr>
        <w:spacing w:after="0" w:line="240" w:lineRule="auto"/>
        <w:ind w:left="1316" w:hanging="1316" w:hangingChars="700"/>
        <w:rPr>
          <w:rFonts w:hint="eastAsia" w:ascii="黑体" w:hAnsi="黑体" w:eastAsia="黑体"/>
          <w:spacing w:val="-11"/>
          <w:highlight w:val="none"/>
          <w:lang w:val="en-US" w:eastAsia="zh-CN"/>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677"/>
        <w:gridCol w:w="4571"/>
        <w:gridCol w:w="1100"/>
        <w:gridCol w:w="1867"/>
        <w:gridCol w:w="1066"/>
        <w:gridCol w:w="933"/>
        <w:gridCol w:w="1200"/>
        <w:gridCol w:w="1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10" w:type="dxa"/>
            <w:vMerge w:val="restart"/>
            <w:textDirection w:val="tbRlV"/>
            <w:vAlign w:val="center"/>
          </w:tcPr>
          <w:p>
            <w:pPr>
              <w:spacing w:after="0" w:line="360" w:lineRule="exact"/>
              <w:ind w:left="115" w:right="115"/>
              <w:jc w:val="center"/>
              <w:rPr>
                <w:rFonts w:ascii="KaiTi_GB2312" w:eastAsia="KaiTi_GB2312"/>
                <w:sz w:val="28"/>
                <w:szCs w:val="28"/>
                <w:highlight w:val="none"/>
              </w:rPr>
            </w:pPr>
            <w:r>
              <w:rPr>
                <w:rFonts w:hint="eastAsia" w:ascii="KaiTi_GB2312" w:eastAsia="KaiTi_GB2312"/>
                <w:sz w:val="28"/>
                <w:szCs w:val="28"/>
                <w:highlight w:val="none"/>
              </w:rPr>
              <w:t>获奖及荣誉称号</w:t>
            </w:r>
          </w:p>
          <w:p>
            <w:pPr>
              <w:spacing w:after="0" w:line="360" w:lineRule="exact"/>
              <w:ind w:left="115" w:right="115"/>
              <w:jc w:val="center"/>
              <w:rPr>
                <w:rFonts w:ascii="KaiTi_GB2312" w:eastAsia="KaiTi_GB2312"/>
                <w:sz w:val="24"/>
                <w:szCs w:val="28"/>
                <w:highlight w:val="none"/>
              </w:rPr>
            </w:pPr>
            <w:r>
              <w:rPr>
                <w:rFonts w:hint="eastAsia" w:ascii="KaiTi_GB2312" w:eastAsia="KaiTi_GB2312"/>
                <w:sz w:val="28"/>
                <w:szCs w:val="28"/>
                <w:highlight w:val="none"/>
              </w:rPr>
              <w:t>情况</w:t>
            </w:r>
          </w:p>
        </w:tc>
        <w:tc>
          <w:tcPr>
            <w:tcW w:w="67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4571"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获奖项目（荣誉称号）名称及编号</w:t>
            </w:r>
          </w:p>
        </w:tc>
        <w:tc>
          <w:tcPr>
            <w:tcW w:w="1100"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奖励等级</w:t>
            </w:r>
          </w:p>
        </w:tc>
        <w:tc>
          <w:tcPr>
            <w:tcW w:w="186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授奖国别及单位</w:t>
            </w:r>
          </w:p>
        </w:tc>
        <w:tc>
          <w:tcPr>
            <w:tcW w:w="1066"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奖励年度</w:t>
            </w:r>
          </w:p>
        </w:tc>
        <w:tc>
          <w:tcPr>
            <w:tcW w:w="933"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highlight w:val="none"/>
              </w:rPr>
              <w:t>本人排名</w:t>
            </w:r>
          </w:p>
        </w:tc>
        <w:tc>
          <w:tcPr>
            <w:tcW w:w="1200"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905"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highlight w:val="none"/>
              </w:rPr>
            </w:pPr>
          </w:p>
        </w:tc>
        <w:tc>
          <w:tcPr>
            <w:tcW w:w="677" w:type="dxa"/>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1</w:t>
            </w:r>
          </w:p>
        </w:tc>
        <w:tc>
          <w:tcPr>
            <w:tcW w:w="4571" w:type="dxa"/>
            <w:vAlign w:val="top"/>
          </w:tcPr>
          <w:p>
            <w:pPr>
              <w:spacing w:after="0" w:line="240" w:lineRule="auto"/>
              <w:jc w:val="left"/>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全国中医药院校“大思政”课建设研讨会论文评比：</w:t>
            </w:r>
          </w:p>
          <w:p>
            <w:pPr>
              <w:spacing w:after="0" w:line="240" w:lineRule="auto"/>
              <w:jc w:val="left"/>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抗击新冠疫情对中医药学生职业精神培育影响调查分析</w:t>
            </w:r>
          </w:p>
        </w:tc>
        <w:tc>
          <w:tcPr>
            <w:tcW w:w="1100" w:type="dxa"/>
            <w:vAlign w:val="top"/>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一等奖</w:t>
            </w:r>
          </w:p>
        </w:tc>
        <w:tc>
          <w:tcPr>
            <w:tcW w:w="1867" w:type="dxa"/>
            <w:vAlign w:val="top"/>
          </w:tcPr>
          <w:p>
            <w:pPr>
              <w:spacing w:after="0" w:line="240" w:lineRule="auto"/>
              <w:jc w:val="both"/>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中华人民共和国，安徽省高校思政课教学指导委员会</w:t>
            </w:r>
          </w:p>
        </w:tc>
        <w:tc>
          <w:tcPr>
            <w:tcW w:w="1066" w:type="dxa"/>
            <w:vAlign w:val="top"/>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2023年</w:t>
            </w:r>
          </w:p>
        </w:tc>
        <w:tc>
          <w:tcPr>
            <w:tcW w:w="933" w:type="dxa"/>
            <w:vAlign w:val="top"/>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第一</w:t>
            </w:r>
          </w:p>
        </w:tc>
        <w:tc>
          <w:tcPr>
            <w:tcW w:w="1200" w:type="dxa"/>
            <w:vAlign w:val="top"/>
          </w:tcPr>
          <w:p>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1905" w:type="dxa"/>
            <w:vAlign w:val="top"/>
          </w:tcPr>
          <w:p>
            <w:pPr>
              <w:spacing w:after="0" w:line="240" w:lineRule="auto"/>
              <w:jc w:val="center"/>
              <w:rPr>
                <w:rFonts w:ascii="KaiTi_GB2312" w:hAnsi="Times New Roman" w:eastAsia="KaiTi_GB2312" w:cs="Times New Roman"/>
                <w:kern w:val="2"/>
                <w:sz w:val="24"/>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trPr>
        <w:tc>
          <w:tcPr>
            <w:tcW w:w="1010" w:type="dxa"/>
            <w:vMerge w:val="continue"/>
          </w:tcPr>
          <w:p>
            <w:pPr>
              <w:spacing w:after="0" w:line="240" w:lineRule="auto"/>
              <w:rPr>
                <w:rFonts w:ascii="KaiTi_GB2312" w:eastAsia="KaiTi_GB2312"/>
                <w:sz w:val="24"/>
                <w:szCs w:val="28"/>
                <w:highlight w:val="none"/>
              </w:rPr>
            </w:pPr>
          </w:p>
        </w:tc>
        <w:tc>
          <w:tcPr>
            <w:tcW w:w="677" w:type="dxa"/>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w:t>
            </w:r>
          </w:p>
        </w:tc>
        <w:tc>
          <w:tcPr>
            <w:tcW w:w="4571" w:type="dxa"/>
            <w:vAlign w:val="top"/>
          </w:tcPr>
          <w:p>
            <w:pPr>
              <w:spacing w:after="0" w:line="240" w:lineRule="auto"/>
              <w:jc w:val="left"/>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江苏省教育系统党的建设研究会研究成果评奖：</w:t>
            </w:r>
          </w:p>
          <w:p>
            <w:pPr>
              <w:spacing w:after="0" w:line="240" w:lineRule="auto"/>
              <w:jc w:val="left"/>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健全改进高校党的作风长效机制研究</w:t>
            </w:r>
          </w:p>
        </w:tc>
        <w:tc>
          <w:tcPr>
            <w:tcW w:w="1100" w:type="dxa"/>
            <w:vAlign w:val="top"/>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特等奖</w:t>
            </w:r>
          </w:p>
        </w:tc>
        <w:tc>
          <w:tcPr>
            <w:tcW w:w="1867" w:type="dxa"/>
            <w:vAlign w:val="top"/>
          </w:tcPr>
          <w:p>
            <w:pPr>
              <w:spacing w:after="0" w:line="240" w:lineRule="auto"/>
              <w:jc w:val="both"/>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中华人民共和国，江苏省教育系统党的建设研究会</w:t>
            </w:r>
          </w:p>
        </w:tc>
        <w:tc>
          <w:tcPr>
            <w:tcW w:w="1066" w:type="dxa"/>
            <w:vAlign w:val="top"/>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2017年</w:t>
            </w:r>
          </w:p>
        </w:tc>
        <w:tc>
          <w:tcPr>
            <w:tcW w:w="933" w:type="dxa"/>
            <w:vAlign w:val="center"/>
          </w:tcPr>
          <w:p>
            <w:pPr>
              <w:spacing w:after="0" w:line="240" w:lineRule="auto"/>
              <w:jc w:val="center"/>
              <w:rPr>
                <w:rFonts w:hint="eastAsia" w:ascii="KaiTi_GB2312" w:hAnsi="Times New Roman" w:eastAsia="KaiTi_GB2312" w:cs="Times New Roman"/>
                <w:color w:val="000000"/>
                <w:kern w:val="2"/>
                <w:sz w:val="21"/>
                <w:szCs w:val="24"/>
                <w:highlight w:val="none"/>
                <w:lang w:val="en-US" w:eastAsia="zh-CN" w:bidi="ar-SA"/>
              </w:rPr>
            </w:pPr>
            <w:r>
              <w:rPr>
                <w:rFonts w:hint="eastAsia" w:ascii="KaiTi_GB2312" w:eastAsia="KaiTi_GB2312"/>
                <w:color w:val="000000"/>
                <w:highlight w:val="none"/>
                <w:lang w:val="en-US" w:eastAsia="zh-CN"/>
              </w:rPr>
              <w:t>第四</w:t>
            </w:r>
          </w:p>
        </w:tc>
        <w:tc>
          <w:tcPr>
            <w:tcW w:w="1200" w:type="dxa"/>
            <w:vAlign w:val="center"/>
          </w:tcPr>
          <w:p>
            <w:pPr>
              <w:spacing w:after="0" w:line="240" w:lineRule="auto"/>
              <w:jc w:val="center"/>
              <w:rPr>
                <w:rFonts w:ascii="KaiTi_GB2312" w:hAnsi="Times New Roman" w:eastAsia="KaiTi_GB2312" w:cs="Times New Roman"/>
                <w:color w:val="000000"/>
                <w:kern w:val="2"/>
                <w:sz w:val="21"/>
                <w:szCs w:val="24"/>
                <w:highlight w:val="none"/>
                <w:lang w:val="en-US" w:eastAsia="zh-CN" w:bidi="ar-SA"/>
              </w:rPr>
            </w:pPr>
          </w:p>
        </w:tc>
        <w:tc>
          <w:tcPr>
            <w:tcW w:w="1905" w:type="dxa"/>
            <w:vAlign w:val="center"/>
          </w:tcPr>
          <w:p>
            <w:pPr>
              <w:spacing w:after="0" w:line="240" w:lineRule="auto"/>
              <w:jc w:val="center"/>
              <w:rPr>
                <w:rFonts w:ascii="KaiTi_GB2312" w:hAnsi="Times New Roman" w:eastAsia="KaiTi_GB2312" w:cs="Times New Roman"/>
                <w:kern w:val="2"/>
                <w:sz w:val="21"/>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highlight w:val="none"/>
              </w:rPr>
            </w:pPr>
          </w:p>
        </w:tc>
        <w:tc>
          <w:tcPr>
            <w:tcW w:w="677" w:type="dxa"/>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3</w:t>
            </w:r>
          </w:p>
        </w:tc>
        <w:tc>
          <w:tcPr>
            <w:tcW w:w="4571" w:type="dxa"/>
          </w:tcPr>
          <w:p>
            <w:pPr>
              <w:spacing w:after="0" w:line="240" w:lineRule="auto"/>
              <w:jc w:val="left"/>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第十届全国高等医药院校繁荣发展哲学社会科学协作会高层论坛优秀论文：</w:t>
            </w:r>
          </w:p>
          <w:p>
            <w:pPr>
              <w:spacing w:after="0" w:line="240" w:lineRule="auto"/>
              <w:jc w:val="left"/>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建国以前中医药人才的思想政治教育特征</w:t>
            </w:r>
          </w:p>
        </w:tc>
        <w:tc>
          <w:tcPr>
            <w:tcW w:w="1100" w:type="dxa"/>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三等奖</w:t>
            </w:r>
          </w:p>
        </w:tc>
        <w:tc>
          <w:tcPr>
            <w:tcW w:w="1867" w:type="dxa"/>
          </w:tcPr>
          <w:p>
            <w:pPr>
              <w:spacing w:after="0" w:line="240" w:lineRule="auto"/>
              <w:jc w:val="both"/>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中华人民共和国，教育部高等医学人文素养与全科医学教学指导委员会、全国医药院校社科研究协作会</w:t>
            </w:r>
          </w:p>
        </w:tc>
        <w:tc>
          <w:tcPr>
            <w:tcW w:w="1066" w:type="dxa"/>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2018年</w:t>
            </w:r>
          </w:p>
        </w:tc>
        <w:tc>
          <w:tcPr>
            <w:tcW w:w="933" w:type="dxa"/>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第一</w:t>
            </w:r>
          </w:p>
        </w:tc>
        <w:tc>
          <w:tcPr>
            <w:tcW w:w="1200" w:type="dxa"/>
          </w:tcPr>
          <w:p>
            <w:pPr>
              <w:spacing w:after="0" w:line="240" w:lineRule="auto"/>
              <w:jc w:val="center"/>
              <w:rPr>
                <w:rFonts w:ascii="KaiTi_GB2312" w:eastAsia="KaiTi_GB2312"/>
                <w:sz w:val="24"/>
                <w:szCs w:val="28"/>
                <w:highlight w:val="none"/>
              </w:rPr>
            </w:pPr>
          </w:p>
        </w:tc>
        <w:tc>
          <w:tcPr>
            <w:tcW w:w="1905" w:type="dxa"/>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trPr>
        <w:tc>
          <w:tcPr>
            <w:tcW w:w="1010" w:type="dxa"/>
            <w:vMerge w:val="continue"/>
          </w:tcPr>
          <w:p>
            <w:pPr>
              <w:spacing w:after="0" w:line="240" w:lineRule="auto"/>
              <w:rPr>
                <w:rFonts w:ascii="KaiTi_GB2312" w:eastAsia="KaiTi_GB2312"/>
                <w:sz w:val="24"/>
                <w:szCs w:val="28"/>
                <w:highlight w:val="none"/>
              </w:rPr>
            </w:pPr>
          </w:p>
        </w:tc>
        <w:tc>
          <w:tcPr>
            <w:tcW w:w="677" w:type="dxa"/>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4</w:t>
            </w:r>
          </w:p>
        </w:tc>
        <w:tc>
          <w:tcPr>
            <w:tcW w:w="4571" w:type="dxa"/>
            <w:vAlign w:val="top"/>
          </w:tcPr>
          <w:p>
            <w:pPr>
              <w:spacing w:after="0" w:line="240" w:lineRule="auto"/>
              <w:jc w:val="left"/>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南京中医药大学高等教育教学成果奖：</w:t>
            </w:r>
          </w:p>
          <w:p>
            <w:pPr>
              <w:spacing w:after="0" w:line="240" w:lineRule="auto"/>
              <w:jc w:val="left"/>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中医文化融入思想政治理论课的探索</w:t>
            </w:r>
          </w:p>
        </w:tc>
        <w:tc>
          <w:tcPr>
            <w:tcW w:w="1100" w:type="dxa"/>
            <w:vAlign w:val="top"/>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一等奖</w:t>
            </w:r>
          </w:p>
        </w:tc>
        <w:tc>
          <w:tcPr>
            <w:tcW w:w="1867" w:type="dxa"/>
            <w:vAlign w:val="top"/>
          </w:tcPr>
          <w:p>
            <w:pPr>
              <w:spacing w:after="0" w:line="240" w:lineRule="auto"/>
              <w:jc w:val="both"/>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中华人民共和国，南京中医药大学</w:t>
            </w:r>
          </w:p>
        </w:tc>
        <w:tc>
          <w:tcPr>
            <w:tcW w:w="1066" w:type="dxa"/>
            <w:vAlign w:val="top"/>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2017年</w:t>
            </w:r>
          </w:p>
        </w:tc>
        <w:tc>
          <w:tcPr>
            <w:tcW w:w="933" w:type="dxa"/>
            <w:vAlign w:val="top"/>
          </w:tcPr>
          <w:p>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第五</w:t>
            </w:r>
          </w:p>
        </w:tc>
        <w:tc>
          <w:tcPr>
            <w:tcW w:w="1200" w:type="dxa"/>
            <w:vAlign w:val="top"/>
          </w:tcPr>
          <w:p>
            <w:pPr>
              <w:spacing w:after="0" w:line="240" w:lineRule="auto"/>
              <w:jc w:val="center"/>
              <w:rPr>
                <w:rFonts w:ascii="KaiTi_GB2312" w:hAnsi="Times New Roman" w:eastAsia="KaiTi_GB2312" w:cs="Times New Roman"/>
                <w:kern w:val="2"/>
                <w:sz w:val="24"/>
                <w:szCs w:val="28"/>
                <w:highlight w:val="none"/>
                <w:lang w:val="en-US" w:eastAsia="zh-CN" w:bidi="ar-SA"/>
              </w:rPr>
            </w:pPr>
          </w:p>
        </w:tc>
        <w:tc>
          <w:tcPr>
            <w:tcW w:w="1905" w:type="dxa"/>
            <w:vAlign w:val="top"/>
          </w:tcPr>
          <w:p>
            <w:pPr>
              <w:spacing w:after="0" w:line="240" w:lineRule="auto"/>
              <w:jc w:val="center"/>
              <w:rPr>
                <w:rFonts w:ascii="KaiTi_GB2312" w:hAnsi="Times New Roman" w:eastAsia="KaiTi_GB2312" w:cs="Times New Roman"/>
                <w:kern w:val="2"/>
                <w:sz w:val="24"/>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trPr>
        <w:tc>
          <w:tcPr>
            <w:tcW w:w="1010" w:type="dxa"/>
            <w:vMerge w:val="continue"/>
          </w:tcPr>
          <w:p>
            <w:pPr>
              <w:spacing w:after="0" w:line="240" w:lineRule="auto"/>
              <w:rPr>
                <w:rFonts w:ascii="KaiTi_GB2312" w:eastAsia="KaiTi_GB2312"/>
                <w:sz w:val="24"/>
                <w:szCs w:val="28"/>
                <w:highlight w:val="none"/>
              </w:rPr>
            </w:pPr>
          </w:p>
        </w:tc>
        <w:tc>
          <w:tcPr>
            <w:tcW w:w="677" w:type="dxa"/>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5</w:t>
            </w:r>
          </w:p>
        </w:tc>
        <w:tc>
          <w:tcPr>
            <w:tcW w:w="4571" w:type="dxa"/>
            <w:vAlign w:val="top"/>
          </w:tcPr>
          <w:p>
            <w:pPr>
              <w:spacing w:after="0" w:line="240" w:lineRule="auto"/>
              <w:jc w:val="left"/>
              <w:rPr>
                <w:rFonts w:hint="eastAsia" w:ascii="KaiTi_GB2312" w:eastAsia="KaiTi_GB2312" w:cs="Times New Roman"/>
                <w:kern w:val="2"/>
                <w:sz w:val="24"/>
                <w:szCs w:val="28"/>
                <w:highlight w:val="none"/>
                <w:lang w:val="en-US" w:eastAsia="zh-CN" w:bidi="ar-SA"/>
              </w:rPr>
            </w:pPr>
            <w:r>
              <w:rPr>
                <w:rFonts w:hint="eastAsia" w:ascii="KaiTi_GB2312" w:eastAsia="KaiTi_GB2312" w:cs="Times New Roman"/>
                <w:kern w:val="2"/>
                <w:sz w:val="24"/>
                <w:szCs w:val="28"/>
                <w:highlight w:val="none"/>
                <w:lang w:val="en-US" w:eastAsia="zh-CN" w:bidi="ar-SA"/>
              </w:rPr>
              <w:t>南京中医药大学2021年度微课竞赛：</w:t>
            </w:r>
          </w:p>
          <w:p>
            <w:pPr>
              <w:spacing w:after="0" w:line="240" w:lineRule="auto"/>
              <w:jc w:val="left"/>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cs="Times New Roman"/>
                <w:kern w:val="2"/>
                <w:sz w:val="24"/>
                <w:szCs w:val="28"/>
                <w:highlight w:val="none"/>
                <w:lang w:val="en-US" w:eastAsia="zh-CN" w:bidi="ar-SA"/>
              </w:rPr>
              <w:t>孙中山的“中国梦”</w:t>
            </w:r>
          </w:p>
        </w:tc>
        <w:tc>
          <w:tcPr>
            <w:tcW w:w="1100" w:type="dxa"/>
            <w:vAlign w:val="top"/>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cs="Times New Roman"/>
                <w:kern w:val="2"/>
                <w:sz w:val="24"/>
                <w:szCs w:val="28"/>
                <w:highlight w:val="none"/>
                <w:lang w:val="en-US" w:eastAsia="zh-CN" w:bidi="ar-SA"/>
              </w:rPr>
              <w:t>二等奖</w:t>
            </w:r>
          </w:p>
        </w:tc>
        <w:tc>
          <w:tcPr>
            <w:tcW w:w="1867" w:type="dxa"/>
            <w:vAlign w:val="top"/>
          </w:tcPr>
          <w:p>
            <w:pPr>
              <w:spacing w:after="0" w:line="240" w:lineRule="auto"/>
              <w:jc w:val="both"/>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中华人民共和国，</w:t>
            </w:r>
            <w:r>
              <w:rPr>
                <w:rFonts w:hint="eastAsia" w:ascii="KaiTi_GB2312" w:eastAsia="KaiTi_GB2312" w:cs="Times New Roman"/>
                <w:kern w:val="2"/>
                <w:sz w:val="24"/>
                <w:szCs w:val="28"/>
                <w:highlight w:val="none"/>
                <w:lang w:val="en-US" w:eastAsia="zh-CN" w:bidi="ar-SA"/>
              </w:rPr>
              <w:t>南京中医药大学</w:t>
            </w:r>
          </w:p>
        </w:tc>
        <w:tc>
          <w:tcPr>
            <w:tcW w:w="1066" w:type="dxa"/>
            <w:vAlign w:val="top"/>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cs="Times New Roman"/>
                <w:kern w:val="2"/>
                <w:sz w:val="24"/>
                <w:szCs w:val="28"/>
                <w:highlight w:val="none"/>
                <w:lang w:val="en-US" w:eastAsia="zh-CN" w:bidi="ar-SA"/>
              </w:rPr>
              <w:t>2021年</w:t>
            </w:r>
          </w:p>
        </w:tc>
        <w:tc>
          <w:tcPr>
            <w:tcW w:w="933" w:type="dxa"/>
            <w:vAlign w:val="center"/>
          </w:tcPr>
          <w:p>
            <w:pPr>
              <w:spacing w:after="0" w:line="240" w:lineRule="auto"/>
              <w:jc w:val="center"/>
              <w:rPr>
                <w:rFonts w:hint="default" w:ascii="KaiTi_GB2312" w:hAnsi="Times New Roman" w:eastAsia="KaiTi_GB2312" w:cs="Times New Roman"/>
                <w:color w:val="000000"/>
                <w:kern w:val="2"/>
                <w:sz w:val="21"/>
                <w:szCs w:val="24"/>
                <w:highlight w:val="none"/>
                <w:lang w:val="en-US" w:eastAsia="zh-CN" w:bidi="ar-SA"/>
              </w:rPr>
            </w:pPr>
            <w:r>
              <w:rPr>
                <w:rFonts w:hint="eastAsia" w:ascii="KaiTi_GB2312" w:eastAsia="KaiTi_GB2312" w:cs="Times New Roman"/>
                <w:color w:val="000000"/>
                <w:kern w:val="2"/>
                <w:sz w:val="21"/>
                <w:szCs w:val="24"/>
                <w:highlight w:val="none"/>
                <w:lang w:val="en-US" w:eastAsia="zh-CN" w:bidi="ar-SA"/>
              </w:rPr>
              <w:t>第一</w:t>
            </w:r>
          </w:p>
        </w:tc>
        <w:tc>
          <w:tcPr>
            <w:tcW w:w="1200" w:type="dxa"/>
            <w:vAlign w:val="center"/>
          </w:tcPr>
          <w:p>
            <w:pPr>
              <w:spacing w:after="0" w:line="240" w:lineRule="auto"/>
              <w:jc w:val="center"/>
              <w:rPr>
                <w:rFonts w:ascii="KaiTi_GB2312" w:hAnsi="Times New Roman" w:eastAsia="KaiTi_GB2312" w:cs="Times New Roman"/>
                <w:color w:val="000000"/>
                <w:kern w:val="2"/>
                <w:sz w:val="21"/>
                <w:szCs w:val="24"/>
                <w:highlight w:val="none"/>
                <w:lang w:val="en-US" w:eastAsia="zh-CN" w:bidi="ar-SA"/>
              </w:rPr>
            </w:pPr>
          </w:p>
        </w:tc>
        <w:tc>
          <w:tcPr>
            <w:tcW w:w="1905" w:type="dxa"/>
            <w:vAlign w:val="center"/>
          </w:tcPr>
          <w:p>
            <w:pPr>
              <w:spacing w:after="0" w:line="240" w:lineRule="auto"/>
              <w:jc w:val="center"/>
              <w:rPr>
                <w:rFonts w:ascii="KaiTi_GB2312" w:hAnsi="Times New Roman" w:eastAsia="KaiTi_GB2312" w:cs="Times New Roman"/>
                <w:kern w:val="2"/>
                <w:sz w:val="21"/>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trPr>
        <w:tc>
          <w:tcPr>
            <w:tcW w:w="7358" w:type="dxa"/>
            <w:gridSpan w:val="4"/>
            <w:vAlign w:val="center"/>
          </w:tcPr>
          <w:p>
            <w:pPr>
              <w:spacing w:after="0" w:line="240" w:lineRule="auto"/>
              <w:jc w:val="left"/>
              <w:rPr>
                <w:rFonts w:ascii="KaiTi_GB2312" w:eastAsia="KaiTi_GB2312"/>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资格审查小组确认研究项目、专利及获奖情况是否符合晋升高一级专业技术职务要求</w:t>
            </w:r>
          </w:p>
        </w:tc>
        <w:tc>
          <w:tcPr>
            <w:tcW w:w="2933" w:type="dxa"/>
            <w:gridSpan w:val="2"/>
            <w:vAlign w:val="center"/>
          </w:tcPr>
          <w:p>
            <w:pPr>
              <w:spacing w:after="0" w:line="240" w:lineRule="auto"/>
              <w:rPr>
                <w:rFonts w:ascii="KaiTi_GB2312" w:eastAsia="KaiTi_GB2312"/>
                <w:highlight w:val="none"/>
              </w:rPr>
            </w:pPr>
            <w:r>
              <w:rPr>
                <w:rFonts w:hint="eastAsia" w:ascii="KaiTi_GB2312" w:eastAsia="KaiTi_GB2312"/>
                <w:highlight w:val="none"/>
              </w:rPr>
              <w:t>□符合</w:t>
            </w:r>
          </w:p>
          <w:p>
            <w:pPr>
              <w:spacing w:after="0" w:line="240" w:lineRule="auto"/>
              <w:jc w:val="left"/>
              <w:rPr>
                <w:rFonts w:ascii="KaiTi_GB2312" w:eastAsia="KaiTi_GB2312"/>
                <w:highlight w:val="none"/>
              </w:rPr>
            </w:pPr>
            <w:r>
              <w:rPr>
                <w:rFonts w:hint="eastAsia" w:ascii="KaiTi_GB2312" w:eastAsia="KaiTi_GB2312"/>
                <w:highlight w:val="none"/>
              </w:rPr>
              <w:t>□不符合</w:t>
            </w:r>
          </w:p>
        </w:tc>
        <w:tc>
          <w:tcPr>
            <w:tcW w:w="2133" w:type="dxa"/>
            <w:gridSpan w:val="2"/>
            <w:vAlign w:val="center"/>
          </w:tcPr>
          <w:p>
            <w:pPr>
              <w:spacing w:after="0" w:line="240" w:lineRule="auto"/>
              <w:jc w:val="left"/>
              <w:rPr>
                <w:rFonts w:ascii="KaiTi_GB2312" w:eastAsia="KaiTi_GB2312"/>
                <w:sz w:val="24"/>
                <w:szCs w:val="28"/>
                <w:highlight w:val="none"/>
              </w:rPr>
            </w:pPr>
            <w:r>
              <w:rPr>
                <w:rFonts w:hint="eastAsia" w:ascii="KaiTi_GB2312" w:eastAsia="KaiTi_GB2312"/>
                <w:highlight w:val="none"/>
              </w:rPr>
              <w:t>审核小组组长签名</w:t>
            </w:r>
          </w:p>
        </w:tc>
        <w:tc>
          <w:tcPr>
            <w:tcW w:w="1905" w:type="dxa"/>
          </w:tcPr>
          <w:p>
            <w:pPr>
              <w:spacing w:after="0" w:line="240" w:lineRule="auto"/>
              <w:rPr>
                <w:rFonts w:ascii="KaiTi_GB2312" w:eastAsia="KaiTi_GB2312"/>
                <w:sz w:val="24"/>
                <w:szCs w:val="28"/>
                <w:highlight w:val="none"/>
              </w:rPr>
            </w:pPr>
          </w:p>
        </w:tc>
      </w:tr>
    </w:tbl>
    <w:p>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重要获奖及荣誉称号</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前5项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left="1316" w:hanging="1316" w:hangingChars="700"/>
        <w:rPr>
          <w:rFonts w:hint="eastAsia" w:ascii="黑体" w:hAnsi="黑体" w:eastAsia="黑体"/>
          <w:spacing w:val="-11"/>
          <w:highlight w:val="none"/>
          <w:lang w:eastAsia="zh-CN"/>
        </w:rPr>
      </w:pPr>
    </w:p>
    <w:p>
      <w:pPr>
        <w:spacing w:after="0" w:line="240" w:lineRule="auto"/>
        <w:ind w:left="1316" w:hanging="1316" w:hangingChars="700"/>
        <w:rPr>
          <w:rFonts w:hint="eastAsia" w:ascii="黑体" w:hAnsi="黑体" w:eastAsia="黑体"/>
          <w:spacing w:val="-11"/>
          <w:highlight w:val="none"/>
          <w:lang w:eastAsia="zh-CN"/>
        </w:rPr>
      </w:pPr>
    </w:p>
    <w:p>
      <w:pPr>
        <w:spacing w:after="0" w:line="240" w:lineRule="auto"/>
        <w:ind w:left="1316" w:hanging="1316" w:hangingChars="700"/>
        <w:rPr>
          <w:rFonts w:hint="eastAsia" w:ascii="黑体" w:hAnsi="黑体" w:eastAsia="黑体"/>
          <w:spacing w:val="-11"/>
          <w:highlight w:val="none"/>
          <w:lang w:eastAsia="zh-CN"/>
        </w:rPr>
      </w:pPr>
    </w:p>
    <w:tbl>
      <w:tblPr>
        <w:tblStyle w:val="6"/>
        <w:tblpPr w:leftFromText="180" w:rightFromText="180" w:vertAnchor="text" w:horzAnchor="page" w:tblpX="1532" w:tblpY="-1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211"/>
        <w:gridCol w:w="2147"/>
        <w:gridCol w:w="309"/>
        <w:gridCol w:w="2856"/>
        <w:gridCol w:w="605"/>
        <w:gridCol w:w="1239"/>
        <w:gridCol w:w="493"/>
        <w:gridCol w:w="611"/>
        <w:gridCol w:w="727"/>
        <w:gridCol w:w="2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277" w:type="dxa"/>
            <w:vMerge w:val="restart"/>
            <w:textDirection w:val="tbRlV"/>
            <w:vAlign w:val="center"/>
          </w:tcPr>
          <w:p>
            <w:pPr>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参加继续教育情况</w:t>
            </w:r>
          </w:p>
        </w:tc>
        <w:tc>
          <w:tcPr>
            <w:tcW w:w="3667" w:type="dxa"/>
            <w:gridSpan w:val="3"/>
            <w:vAlign w:val="center"/>
          </w:tcPr>
          <w:p>
            <w:pPr>
              <w:adjustRightInd w:val="0"/>
              <w:snapToGrid w:val="0"/>
              <w:spacing w:after="0" w:line="240" w:lineRule="auto"/>
              <w:jc w:val="center"/>
              <w:rPr>
                <w:rFonts w:eastAsia="KaiTi_GB2312"/>
                <w:highlight w:val="none"/>
              </w:rPr>
            </w:pPr>
            <w:r>
              <w:rPr>
                <w:rFonts w:eastAsia="KaiTi_GB2312"/>
                <w:highlight w:val="none"/>
              </w:rPr>
              <w:t>国内进修项目名称</w:t>
            </w:r>
          </w:p>
        </w:tc>
        <w:tc>
          <w:tcPr>
            <w:tcW w:w="2856" w:type="dxa"/>
            <w:vAlign w:val="center"/>
          </w:tcPr>
          <w:p>
            <w:pPr>
              <w:adjustRightInd w:val="0"/>
              <w:snapToGrid w:val="0"/>
              <w:spacing w:after="0" w:line="240" w:lineRule="auto"/>
              <w:jc w:val="center"/>
              <w:rPr>
                <w:rFonts w:eastAsia="KaiTi_GB2312"/>
                <w:highlight w:val="none"/>
              </w:rPr>
            </w:pPr>
            <w:r>
              <w:rPr>
                <w:rFonts w:hint="eastAsia" w:eastAsia="KaiTi_GB2312"/>
                <w:highlight w:val="none"/>
              </w:rPr>
              <w:t>起止时间</w:t>
            </w:r>
          </w:p>
        </w:tc>
        <w:tc>
          <w:tcPr>
            <w:tcW w:w="3675" w:type="dxa"/>
            <w:gridSpan w:val="5"/>
            <w:vAlign w:val="center"/>
          </w:tcPr>
          <w:p>
            <w:pPr>
              <w:adjustRightInd w:val="0"/>
              <w:snapToGrid w:val="0"/>
              <w:spacing w:after="0" w:line="240" w:lineRule="auto"/>
              <w:jc w:val="center"/>
              <w:rPr>
                <w:rFonts w:eastAsia="KaiTi_GB2312"/>
                <w:highlight w:val="none"/>
              </w:rPr>
            </w:pPr>
            <w:r>
              <w:rPr>
                <w:rFonts w:eastAsia="KaiTi_GB2312"/>
                <w:highlight w:val="none"/>
              </w:rPr>
              <w:t>国内进修项目名称</w:t>
            </w:r>
          </w:p>
        </w:tc>
        <w:tc>
          <w:tcPr>
            <w:tcW w:w="2857" w:type="dxa"/>
            <w:vAlign w:val="center"/>
          </w:tcPr>
          <w:p>
            <w:pPr>
              <w:adjustRightInd w:val="0"/>
              <w:snapToGrid w:val="0"/>
              <w:spacing w:after="0" w:line="240" w:lineRule="auto"/>
              <w:jc w:val="center"/>
              <w:rPr>
                <w:rFonts w:eastAsia="KaiTi_GB2312"/>
                <w:highlight w:val="none"/>
              </w:rPr>
            </w:pPr>
            <w:r>
              <w:rPr>
                <w:rFonts w:hint="eastAsia" w:eastAsia="KaiTi_GB2312"/>
                <w:highlight w:val="none"/>
              </w:rPr>
              <w:t>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1277" w:type="dxa"/>
            <w:vMerge w:val="continue"/>
          </w:tcPr>
          <w:p>
            <w:pPr>
              <w:spacing w:after="0" w:line="240" w:lineRule="auto"/>
              <w:rPr>
                <w:rFonts w:ascii="KaiTi_GB2312" w:eastAsia="KaiTi_GB2312"/>
                <w:sz w:val="24"/>
                <w:szCs w:val="28"/>
                <w:highlight w:val="none"/>
              </w:rPr>
            </w:pPr>
          </w:p>
        </w:tc>
        <w:tc>
          <w:tcPr>
            <w:tcW w:w="3667" w:type="dxa"/>
            <w:gridSpan w:val="3"/>
            <w:vAlign w:val="center"/>
          </w:tcPr>
          <w:p>
            <w:pPr>
              <w:spacing w:after="0" w:line="240" w:lineRule="auto"/>
              <w:jc w:val="left"/>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教育部教材局：习近平总书记教育重要论述讲义使用培训班专题研修学习</w:t>
            </w:r>
          </w:p>
        </w:tc>
        <w:tc>
          <w:tcPr>
            <w:tcW w:w="2856"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2020.11.23—2020.11.24</w:t>
            </w:r>
          </w:p>
        </w:tc>
        <w:tc>
          <w:tcPr>
            <w:tcW w:w="3675" w:type="dxa"/>
            <w:gridSpan w:val="5"/>
            <w:vAlign w:val="center"/>
          </w:tcPr>
          <w:p>
            <w:pPr>
              <w:spacing w:after="0" w:line="240" w:lineRule="auto"/>
              <w:jc w:val="left"/>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教育部：2022年暑期教师研修</w:t>
            </w:r>
          </w:p>
        </w:tc>
        <w:tc>
          <w:tcPr>
            <w:tcW w:w="2857"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2022.07.20—2022.08.31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7" w:type="dxa"/>
            <w:vMerge w:val="continue"/>
          </w:tcPr>
          <w:p>
            <w:pPr>
              <w:spacing w:after="0" w:line="240" w:lineRule="auto"/>
              <w:rPr>
                <w:rFonts w:ascii="KaiTi_GB2312" w:eastAsia="KaiTi_GB2312"/>
                <w:sz w:val="24"/>
                <w:szCs w:val="28"/>
                <w:highlight w:val="none"/>
              </w:rPr>
            </w:pPr>
          </w:p>
        </w:tc>
        <w:tc>
          <w:tcPr>
            <w:tcW w:w="3667" w:type="dxa"/>
            <w:gridSpan w:val="3"/>
            <w:vAlign w:val="center"/>
          </w:tcPr>
          <w:p>
            <w:pPr>
              <w:spacing w:after="0" w:line="240" w:lineRule="auto"/>
              <w:jc w:val="left"/>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南京中医药大学：科研实验安全教育与考试</w:t>
            </w:r>
          </w:p>
        </w:tc>
        <w:tc>
          <w:tcPr>
            <w:tcW w:w="2856"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2021.5.19</w:t>
            </w:r>
          </w:p>
        </w:tc>
        <w:tc>
          <w:tcPr>
            <w:tcW w:w="3675" w:type="dxa"/>
            <w:gridSpan w:val="5"/>
            <w:vAlign w:val="center"/>
          </w:tcPr>
          <w:p>
            <w:pPr>
              <w:spacing w:after="0" w:line="240" w:lineRule="auto"/>
              <w:jc w:val="left"/>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国家保密局：2022年度保密教育线上培训</w:t>
            </w:r>
          </w:p>
        </w:tc>
        <w:tc>
          <w:tcPr>
            <w:tcW w:w="2857"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2022.08.13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7" w:type="dxa"/>
            <w:vMerge w:val="continue"/>
          </w:tcPr>
          <w:p>
            <w:pPr>
              <w:spacing w:after="0" w:line="240" w:lineRule="auto"/>
              <w:rPr>
                <w:rFonts w:ascii="KaiTi_GB2312" w:eastAsia="KaiTi_GB2312"/>
                <w:sz w:val="24"/>
                <w:szCs w:val="28"/>
                <w:highlight w:val="none"/>
              </w:rPr>
            </w:pPr>
          </w:p>
        </w:tc>
        <w:tc>
          <w:tcPr>
            <w:tcW w:w="3667" w:type="dxa"/>
            <w:gridSpan w:val="3"/>
            <w:vAlign w:val="center"/>
          </w:tcPr>
          <w:p>
            <w:pPr>
              <w:tabs>
                <w:tab w:val="left" w:pos="1368"/>
              </w:tabs>
              <w:spacing w:after="0" w:line="240" w:lineRule="auto"/>
              <w:jc w:val="left"/>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教育部：高校思想政治理论课2021版教材使用培训——中国近现代史纲要专题研修学习</w:t>
            </w:r>
          </w:p>
        </w:tc>
        <w:tc>
          <w:tcPr>
            <w:tcW w:w="2856" w:type="dxa"/>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2021.09.28</w:t>
            </w:r>
          </w:p>
        </w:tc>
        <w:tc>
          <w:tcPr>
            <w:tcW w:w="3675" w:type="dxa"/>
            <w:gridSpan w:val="5"/>
            <w:vAlign w:val="center"/>
          </w:tcPr>
          <w:p>
            <w:pPr>
              <w:spacing w:after="0" w:line="240" w:lineRule="auto"/>
              <w:jc w:val="left"/>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江苏省教育厅：2022年度江苏省本科院校教师基层教学组织负责人培训研修班培训</w:t>
            </w:r>
          </w:p>
        </w:tc>
        <w:tc>
          <w:tcPr>
            <w:tcW w:w="2857"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2022.08.22—2022.08.24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2" w:hRule="atLeast"/>
        </w:trPr>
        <w:tc>
          <w:tcPr>
            <w:tcW w:w="1277" w:type="dxa"/>
            <w:vMerge w:val="continue"/>
          </w:tcPr>
          <w:p>
            <w:pPr>
              <w:spacing w:after="0" w:line="240" w:lineRule="auto"/>
              <w:rPr>
                <w:rFonts w:ascii="KaiTi_GB2312" w:eastAsia="KaiTi_GB2312"/>
                <w:sz w:val="24"/>
                <w:szCs w:val="28"/>
                <w:highlight w:val="none"/>
              </w:rPr>
            </w:pPr>
          </w:p>
        </w:tc>
        <w:tc>
          <w:tcPr>
            <w:tcW w:w="3667" w:type="dxa"/>
            <w:gridSpan w:val="3"/>
            <w:vAlign w:val="center"/>
          </w:tcPr>
          <w:p>
            <w:pPr>
              <w:spacing w:after="0" w:line="240" w:lineRule="auto"/>
              <w:jc w:val="left"/>
              <w:rPr>
                <w:rFonts w:ascii="KaiTi_GB2312" w:eastAsia="KaiTi_GB2312"/>
                <w:sz w:val="24"/>
                <w:szCs w:val="28"/>
                <w:highlight w:val="none"/>
              </w:rPr>
            </w:pPr>
            <w:r>
              <w:rPr>
                <w:rFonts w:hint="eastAsia" w:ascii="KaiTi_GB2312" w:eastAsia="KaiTi_GB2312"/>
                <w:sz w:val="24"/>
                <w:szCs w:val="28"/>
                <w:highlight w:val="none"/>
                <w:lang w:val="en-US" w:eastAsia="zh-CN"/>
              </w:rPr>
              <w:t>教育部：高校思想政治理论课2021版教材使用培训——毛泽东思想和中国特色社会主义理论体系概论专题研修学习</w:t>
            </w:r>
          </w:p>
        </w:tc>
        <w:tc>
          <w:tcPr>
            <w:tcW w:w="2856"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2021.09.27</w:t>
            </w:r>
          </w:p>
        </w:tc>
        <w:tc>
          <w:tcPr>
            <w:tcW w:w="3675" w:type="dxa"/>
            <w:gridSpan w:val="5"/>
            <w:vAlign w:val="center"/>
          </w:tcPr>
          <w:p>
            <w:pPr>
              <w:spacing w:after="0" w:line="240" w:lineRule="auto"/>
              <w:jc w:val="left"/>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教育部：2023年寒假教师研修</w:t>
            </w:r>
          </w:p>
        </w:tc>
        <w:tc>
          <w:tcPr>
            <w:tcW w:w="2857"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2022.12.03—2023.02.28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7" w:type="dxa"/>
            <w:vMerge w:val="continue"/>
          </w:tcPr>
          <w:p>
            <w:pPr>
              <w:spacing w:after="0" w:line="240" w:lineRule="auto"/>
              <w:rPr>
                <w:rFonts w:ascii="KaiTi_GB2312" w:eastAsia="KaiTi_GB2312"/>
                <w:sz w:val="24"/>
                <w:szCs w:val="28"/>
                <w:highlight w:val="none"/>
              </w:rPr>
            </w:pPr>
          </w:p>
        </w:tc>
        <w:tc>
          <w:tcPr>
            <w:tcW w:w="3667" w:type="dxa"/>
            <w:gridSpan w:val="3"/>
            <w:vAlign w:val="center"/>
          </w:tcPr>
          <w:p>
            <w:pPr>
              <w:spacing w:after="0" w:line="240" w:lineRule="auto"/>
              <w:jc w:val="left"/>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中宣部、教育部：马工程重点教材任课教师培训——《中国近代史》（第二版）专题研修学习</w:t>
            </w:r>
          </w:p>
        </w:tc>
        <w:tc>
          <w:tcPr>
            <w:tcW w:w="2856"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2021.12.15</w:t>
            </w:r>
          </w:p>
        </w:tc>
        <w:tc>
          <w:tcPr>
            <w:tcW w:w="3675" w:type="dxa"/>
            <w:gridSpan w:val="5"/>
            <w:vAlign w:val="center"/>
          </w:tcPr>
          <w:p>
            <w:pPr>
              <w:spacing w:after="0" w:line="240" w:lineRule="auto"/>
              <w:jc w:val="left"/>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教育部：2023年暑期教师研修</w:t>
            </w:r>
          </w:p>
        </w:tc>
        <w:tc>
          <w:tcPr>
            <w:tcW w:w="2857" w:type="dxa"/>
            <w:vAlign w:val="center"/>
          </w:tcPr>
          <w:p>
            <w:pPr>
              <w:spacing w:after="0" w:line="240" w:lineRule="auto"/>
              <w:jc w:val="center"/>
              <w:rPr>
                <w:rFonts w:hint="default"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2023.06.06—2023.08.31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7800" w:type="dxa"/>
            <w:gridSpan w:val="5"/>
            <w:vAlign w:val="center"/>
          </w:tcPr>
          <w:p>
            <w:pPr>
              <w:widowControl/>
              <w:spacing w:after="0" w:line="240" w:lineRule="auto"/>
              <w:rPr>
                <w:rFonts w:ascii="KaiTi_GB2312" w:eastAsia="KaiTi_GB2312"/>
                <w:sz w:val="24"/>
                <w:szCs w:val="28"/>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资格审查小组确认继续教育情况是否符合晋升高一级专业技术职务的要求</w:t>
            </w:r>
          </w:p>
        </w:tc>
        <w:tc>
          <w:tcPr>
            <w:tcW w:w="1844" w:type="dxa"/>
            <w:gridSpan w:val="2"/>
            <w:tcBorders>
              <w:right w:val="single" w:color="auto" w:sz="4" w:space="0"/>
            </w:tcBorders>
            <w:vAlign w:val="center"/>
          </w:tcPr>
          <w:p>
            <w:pPr>
              <w:widowControl/>
              <w:spacing w:after="0" w:line="240" w:lineRule="auto"/>
              <w:rPr>
                <w:rFonts w:ascii="KaiTi_GB2312" w:eastAsia="KaiTi_GB2312"/>
                <w:highlight w:val="none"/>
              </w:rPr>
            </w:pPr>
            <w:r>
              <w:rPr>
                <w:rFonts w:hint="eastAsia" w:ascii="KaiTi_GB2312" w:eastAsia="KaiTi_GB2312"/>
                <w:highlight w:val="none"/>
              </w:rPr>
              <w:t xml:space="preserve">□符合 </w:t>
            </w:r>
          </w:p>
          <w:p>
            <w:pPr>
              <w:widowControl/>
              <w:spacing w:after="0" w:line="240" w:lineRule="auto"/>
              <w:rPr>
                <w:rFonts w:ascii="KaiTi_GB2312" w:eastAsia="KaiTi_GB2312"/>
                <w:highlight w:val="none"/>
              </w:rPr>
            </w:pPr>
            <w:r>
              <w:rPr>
                <w:rFonts w:hint="eastAsia" w:ascii="KaiTi_GB2312" w:eastAsia="KaiTi_GB2312"/>
                <w:highlight w:val="none"/>
              </w:rPr>
              <w:t>□不符合</w:t>
            </w:r>
          </w:p>
        </w:tc>
        <w:tc>
          <w:tcPr>
            <w:tcW w:w="1831" w:type="dxa"/>
            <w:gridSpan w:val="3"/>
            <w:tcBorders>
              <w:left w:val="single" w:color="auto" w:sz="4" w:space="0"/>
            </w:tcBorders>
            <w:vAlign w:val="center"/>
          </w:tcPr>
          <w:p>
            <w:pPr>
              <w:widowControl/>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c>
          <w:tcPr>
            <w:tcW w:w="2857" w:type="dxa"/>
          </w:tcPr>
          <w:p>
            <w:pPr>
              <w:spacing w:after="0" w:line="240" w:lineRule="auto"/>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332" w:type="dxa"/>
            <w:gridSpan w:val="11"/>
            <w:vAlign w:val="center"/>
          </w:tcPr>
          <w:p>
            <w:pPr>
              <w:widowControl/>
              <w:spacing w:after="0" w:line="240" w:lineRule="auto"/>
              <w:rPr>
                <w:rFonts w:ascii="KaiTi_GB2312" w:eastAsia="KaiTi_GB2312"/>
                <w:b/>
                <w:bCs/>
                <w:sz w:val="22"/>
                <w:szCs w:val="28"/>
                <w:highlight w:val="none"/>
              </w:rPr>
            </w:pPr>
            <w:r>
              <w:rPr>
                <w:rFonts w:hint="eastAsia" w:ascii="KaiTi_GB2312" w:eastAsia="KaiTi_GB2312"/>
                <w:b/>
                <w:bCs/>
                <w:sz w:val="22"/>
                <w:szCs w:val="28"/>
                <w:highlight w:val="none"/>
              </w:rPr>
              <w:t>以下内容为申报“临床为主型副教授/教授”必填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488" w:type="dxa"/>
            <w:gridSpan w:val="2"/>
            <w:vAlign w:val="center"/>
          </w:tcPr>
          <w:p>
            <w:pPr>
              <w:spacing w:after="0" w:line="240" w:lineRule="auto"/>
              <w:jc w:val="center"/>
              <w:rPr>
                <w:rFonts w:eastAsia="KaiTi_GB2312"/>
                <w:highlight w:val="none"/>
              </w:rPr>
            </w:pPr>
            <w:r>
              <w:rPr>
                <w:rFonts w:eastAsia="KaiTi_GB2312"/>
                <w:highlight w:val="none"/>
              </w:rPr>
              <w:t>执业单位（机构）名称</w:t>
            </w:r>
          </w:p>
        </w:tc>
        <w:tc>
          <w:tcPr>
            <w:tcW w:w="11844" w:type="dxa"/>
            <w:gridSpan w:val="9"/>
            <w:vAlign w:val="center"/>
          </w:tcPr>
          <w:p>
            <w:pPr>
              <w:spacing w:after="0" w:line="240" w:lineRule="auto"/>
              <w:jc w:val="center"/>
              <w:rPr>
                <w:rFonts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2488" w:type="dxa"/>
            <w:gridSpan w:val="2"/>
            <w:vAlign w:val="center"/>
          </w:tcPr>
          <w:p>
            <w:pPr>
              <w:spacing w:after="0" w:line="240" w:lineRule="auto"/>
              <w:jc w:val="center"/>
              <w:rPr>
                <w:rFonts w:eastAsia="KaiTi_GB2312"/>
                <w:highlight w:val="none"/>
              </w:rPr>
            </w:pPr>
            <w:r>
              <w:rPr>
                <w:rFonts w:eastAsia="KaiTi_GB2312"/>
                <w:highlight w:val="none"/>
              </w:rPr>
              <w:t>执业医师资格证书取得时间</w:t>
            </w:r>
          </w:p>
        </w:tc>
        <w:tc>
          <w:tcPr>
            <w:tcW w:w="2147" w:type="dxa"/>
            <w:vAlign w:val="center"/>
          </w:tcPr>
          <w:p>
            <w:pPr>
              <w:spacing w:after="0" w:line="240" w:lineRule="auto"/>
              <w:jc w:val="center"/>
              <w:rPr>
                <w:rFonts w:eastAsia="KaiTi_GB2312"/>
                <w:highlight w:val="none"/>
              </w:rPr>
            </w:pPr>
          </w:p>
        </w:tc>
        <w:tc>
          <w:tcPr>
            <w:tcW w:w="3770" w:type="dxa"/>
            <w:gridSpan w:val="3"/>
            <w:vAlign w:val="center"/>
          </w:tcPr>
          <w:p>
            <w:pPr>
              <w:spacing w:after="0" w:line="240" w:lineRule="auto"/>
              <w:jc w:val="center"/>
              <w:rPr>
                <w:rFonts w:eastAsia="KaiTi_GB2312"/>
                <w:sz w:val="20"/>
                <w:szCs w:val="22"/>
                <w:highlight w:val="none"/>
              </w:rPr>
            </w:pPr>
            <w:r>
              <w:rPr>
                <w:rFonts w:eastAsia="KaiTi_GB2312"/>
                <w:sz w:val="20"/>
                <w:szCs w:val="22"/>
                <w:highlight w:val="none"/>
              </w:rPr>
              <w:t>从事临床工作时间</w:t>
            </w:r>
          </w:p>
          <w:p>
            <w:pPr>
              <w:spacing w:after="0" w:line="240" w:lineRule="auto"/>
              <w:jc w:val="center"/>
              <w:rPr>
                <w:rFonts w:eastAsia="KaiTi_GB2312"/>
                <w:sz w:val="20"/>
                <w:szCs w:val="22"/>
                <w:highlight w:val="none"/>
              </w:rPr>
            </w:pPr>
            <w:r>
              <w:rPr>
                <w:rFonts w:eastAsia="KaiTi_GB2312"/>
                <w:sz w:val="20"/>
                <w:szCs w:val="22"/>
                <w:highlight w:val="none"/>
              </w:rPr>
              <w:t>（</w:t>
            </w:r>
            <w:r>
              <w:rPr>
                <w:rFonts w:hint="eastAsia" w:eastAsia="KaiTi_GB2312"/>
                <w:sz w:val="20"/>
                <w:szCs w:val="22"/>
                <w:highlight w:val="none"/>
              </w:rPr>
              <w:t>截至202</w:t>
            </w:r>
            <w:r>
              <w:rPr>
                <w:rFonts w:hint="eastAsia" w:eastAsia="KaiTi_GB2312"/>
                <w:sz w:val="20"/>
                <w:szCs w:val="22"/>
                <w:highlight w:val="none"/>
                <w:lang w:val="en-US" w:eastAsia="zh-CN"/>
              </w:rPr>
              <w:t>2</w:t>
            </w:r>
            <w:r>
              <w:rPr>
                <w:rFonts w:hint="eastAsia" w:eastAsia="KaiTi_GB2312"/>
                <w:sz w:val="20"/>
                <w:szCs w:val="22"/>
                <w:highlight w:val="none"/>
              </w:rPr>
              <w:t>年12月31日</w:t>
            </w:r>
            <w:r>
              <w:rPr>
                <w:rFonts w:eastAsia="KaiTi_GB2312"/>
                <w:sz w:val="20"/>
                <w:szCs w:val="22"/>
                <w:highlight w:val="none"/>
              </w:rPr>
              <w:t>累计年数）</w:t>
            </w:r>
          </w:p>
        </w:tc>
        <w:tc>
          <w:tcPr>
            <w:tcW w:w="5927" w:type="dxa"/>
            <w:gridSpan w:val="5"/>
            <w:vAlign w:val="center"/>
          </w:tcPr>
          <w:p>
            <w:pPr>
              <w:spacing w:after="0" w:line="240" w:lineRule="auto"/>
              <w:jc w:val="center"/>
              <w:rPr>
                <w:rFonts w:eastAsia="KaiTi_GB2312"/>
                <w:highlight w:val="none"/>
              </w:rPr>
            </w:pPr>
            <w:r>
              <w:rPr>
                <w:rFonts w:eastAsia="KaiTi_GB2312"/>
                <w:highlight w:val="none"/>
              </w:rPr>
              <w:t>****.**−****.**，共计**年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88" w:type="dxa"/>
            <w:gridSpan w:val="2"/>
            <w:vAlign w:val="center"/>
          </w:tcPr>
          <w:p>
            <w:pPr>
              <w:spacing w:after="0" w:line="240" w:lineRule="auto"/>
              <w:jc w:val="center"/>
              <w:rPr>
                <w:rFonts w:eastAsia="KaiTi_GB2312"/>
                <w:highlight w:val="none"/>
              </w:rPr>
            </w:pPr>
            <w:r>
              <w:rPr>
                <w:rFonts w:eastAsia="KaiTi_GB2312"/>
                <w:highlight w:val="none"/>
              </w:rPr>
              <w:t>项目/年度</w:t>
            </w:r>
          </w:p>
        </w:tc>
        <w:tc>
          <w:tcPr>
            <w:tcW w:w="2147" w:type="dxa"/>
            <w:vAlign w:val="center"/>
          </w:tcPr>
          <w:p>
            <w:pPr>
              <w:spacing w:after="0" w:line="240" w:lineRule="auto"/>
              <w:jc w:val="center"/>
              <w:rPr>
                <w:rFonts w:eastAsia="KaiTi_GB2312"/>
                <w:highlight w:val="none"/>
              </w:rPr>
            </w:pPr>
            <w:r>
              <w:rPr>
                <w:rFonts w:eastAsia="KaiTi_GB2312"/>
                <w:highlight w:val="none"/>
              </w:rPr>
              <w:t>20</w:t>
            </w:r>
            <w:r>
              <w:rPr>
                <w:rFonts w:hint="eastAsia" w:eastAsia="KaiTi_GB2312"/>
                <w:highlight w:val="none"/>
              </w:rPr>
              <w:t>2</w:t>
            </w:r>
            <w:r>
              <w:rPr>
                <w:rFonts w:hint="eastAsia" w:eastAsia="KaiTi_GB2312"/>
                <w:highlight w:val="none"/>
                <w:lang w:val="en-US" w:eastAsia="zh-CN"/>
              </w:rPr>
              <w:t>3</w:t>
            </w:r>
            <w:r>
              <w:rPr>
                <w:rFonts w:eastAsia="KaiTi_GB2312"/>
                <w:highlight w:val="none"/>
              </w:rPr>
              <w:t>年</w:t>
            </w:r>
          </w:p>
        </w:tc>
        <w:tc>
          <w:tcPr>
            <w:tcW w:w="3770" w:type="dxa"/>
            <w:gridSpan w:val="3"/>
            <w:vAlign w:val="center"/>
          </w:tcPr>
          <w:p>
            <w:pPr>
              <w:spacing w:after="0" w:line="240" w:lineRule="auto"/>
              <w:jc w:val="center"/>
              <w:rPr>
                <w:rFonts w:eastAsia="KaiTi_GB2312"/>
                <w:highlight w:val="none"/>
              </w:rPr>
            </w:pPr>
            <w:r>
              <w:rPr>
                <w:rFonts w:eastAsia="KaiTi_GB2312"/>
                <w:highlight w:val="none"/>
              </w:rPr>
              <w:t>20</w:t>
            </w:r>
            <w:r>
              <w:rPr>
                <w:rFonts w:hint="eastAsia" w:eastAsia="KaiTi_GB2312"/>
                <w:highlight w:val="none"/>
              </w:rPr>
              <w:t>2</w:t>
            </w:r>
            <w:r>
              <w:rPr>
                <w:rFonts w:hint="eastAsia" w:eastAsia="KaiTi_GB2312"/>
                <w:highlight w:val="none"/>
                <w:lang w:val="en-US" w:eastAsia="zh-CN"/>
              </w:rPr>
              <w:t>2</w:t>
            </w:r>
            <w:r>
              <w:rPr>
                <w:rFonts w:eastAsia="KaiTi_GB2312"/>
                <w:highlight w:val="none"/>
              </w:rPr>
              <w:t>年</w:t>
            </w:r>
          </w:p>
        </w:tc>
        <w:tc>
          <w:tcPr>
            <w:tcW w:w="2343" w:type="dxa"/>
            <w:gridSpan w:val="3"/>
            <w:vAlign w:val="center"/>
          </w:tcPr>
          <w:p>
            <w:pPr>
              <w:spacing w:after="0" w:line="240" w:lineRule="auto"/>
              <w:jc w:val="center"/>
              <w:rPr>
                <w:rFonts w:eastAsia="KaiTi_GB2312"/>
                <w:highlight w:val="none"/>
              </w:rPr>
            </w:pPr>
            <w:r>
              <w:rPr>
                <w:rFonts w:eastAsia="KaiTi_GB2312"/>
                <w:highlight w:val="none"/>
              </w:rPr>
              <w:t>20</w:t>
            </w:r>
            <w:r>
              <w:rPr>
                <w:rFonts w:hint="eastAsia" w:eastAsia="KaiTi_GB2312"/>
                <w:highlight w:val="none"/>
                <w:lang w:val="en-US" w:eastAsia="zh-CN"/>
              </w:rPr>
              <w:t>21</w:t>
            </w:r>
            <w:r>
              <w:rPr>
                <w:rFonts w:eastAsia="KaiTi_GB2312"/>
                <w:highlight w:val="none"/>
              </w:rPr>
              <w:t>年</w:t>
            </w:r>
          </w:p>
        </w:tc>
        <w:tc>
          <w:tcPr>
            <w:tcW w:w="3584" w:type="dxa"/>
            <w:gridSpan w:val="2"/>
            <w:vAlign w:val="center"/>
          </w:tcPr>
          <w:p>
            <w:pPr>
              <w:spacing w:after="0" w:line="240" w:lineRule="auto"/>
              <w:jc w:val="center"/>
              <w:rPr>
                <w:rFonts w:ascii="KaiTi_GB2312" w:eastAsia="KaiTi_GB2312"/>
                <w:highlight w:val="none"/>
              </w:rPr>
            </w:pPr>
            <w:r>
              <w:rPr>
                <w:rFonts w:hint="eastAsia" w:ascii="KaiTi_GB2312" w:eastAsia="KaiTi_GB2312"/>
                <w:highlight w:val="none"/>
              </w:rPr>
              <w:t>近三年年均门诊工作量（节）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488" w:type="dxa"/>
            <w:gridSpan w:val="2"/>
            <w:vAlign w:val="center"/>
          </w:tcPr>
          <w:p>
            <w:pPr>
              <w:spacing w:after="0" w:line="240" w:lineRule="auto"/>
              <w:jc w:val="center"/>
              <w:rPr>
                <w:rFonts w:eastAsia="KaiTi_GB2312"/>
                <w:highlight w:val="none"/>
              </w:rPr>
            </w:pPr>
            <w:r>
              <w:rPr>
                <w:rFonts w:eastAsia="KaiTi_GB2312"/>
                <w:highlight w:val="none"/>
              </w:rPr>
              <w:t>年门诊工作</w:t>
            </w:r>
            <w:r>
              <w:rPr>
                <w:rFonts w:hint="eastAsia" w:ascii="KaiTi_GB2312" w:eastAsia="KaiTi_GB2312"/>
                <w:highlight w:val="none"/>
              </w:rPr>
              <w:t>量（节）</w:t>
            </w:r>
          </w:p>
        </w:tc>
        <w:tc>
          <w:tcPr>
            <w:tcW w:w="2456" w:type="dxa"/>
            <w:gridSpan w:val="2"/>
            <w:vAlign w:val="center"/>
          </w:tcPr>
          <w:p>
            <w:pPr>
              <w:spacing w:after="0" w:line="240" w:lineRule="auto"/>
              <w:jc w:val="center"/>
              <w:rPr>
                <w:rFonts w:eastAsia="KaiTi_GB2312"/>
                <w:highlight w:val="none"/>
              </w:rPr>
            </w:pPr>
          </w:p>
        </w:tc>
        <w:tc>
          <w:tcPr>
            <w:tcW w:w="3461" w:type="dxa"/>
            <w:gridSpan w:val="2"/>
            <w:vAlign w:val="center"/>
          </w:tcPr>
          <w:p>
            <w:pPr>
              <w:spacing w:after="0" w:line="240" w:lineRule="auto"/>
              <w:jc w:val="center"/>
              <w:rPr>
                <w:rFonts w:eastAsia="KaiTi_GB2312"/>
                <w:highlight w:val="none"/>
              </w:rPr>
            </w:pPr>
          </w:p>
        </w:tc>
        <w:tc>
          <w:tcPr>
            <w:tcW w:w="2343" w:type="dxa"/>
            <w:gridSpan w:val="3"/>
            <w:vAlign w:val="center"/>
          </w:tcPr>
          <w:p>
            <w:pPr>
              <w:spacing w:after="0" w:line="240" w:lineRule="auto"/>
              <w:jc w:val="center"/>
              <w:rPr>
                <w:rFonts w:eastAsia="KaiTi_GB2312"/>
                <w:highlight w:val="none"/>
              </w:rPr>
            </w:pPr>
          </w:p>
        </w:tc>
        <w:tc>
          <w:tcPr>
            <w:tcW w:w="3584" w:type="dxa"/>
            <w:gridSpan w:val="2"/>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2488" w:type="dxa"/>
            <w:gridSpan w:val="2"/>
            <w:vAlign w:val="center"/>
          </w:tcPr>
          <w:p>
            <w:pPr>
              <w:widowControl/>
              <w:spacing w:after="0" w:line="240" w:lineRule="auto"/>
              <w:jc w:val="center"/>
              <w:rPr>
                <w:rFonts w:ascii="KaiTi_GB2312" w:eastAsia="KaiTi_GB2312"/>
                <w:highlight w:val="none"/>
              </w:rPr>
            </w:pPr>
            <w:r>
              <w:rPr>
                <w:rFonts w:ascii="KaiTi_GB2312" w:eastAsia="KaiTi_GB2312"/>
                <w:highlight w:val="none"/>
              </w:rPr>
              <w:t>执业单位（机构）</w:t>
            </w:r>
            <w:r>
              <w:rPr>
                <w:rFonts w:hint="eastAsia" w:ascii="KaiTi_GB2312" w:eastAsia="KaiTi_GB2312"/>
                <w:highlight w:val="none"/>
              </w:rPr>
              <w:t>审核意见</w:t>
            </w:r>
          </w:p>
        </w:tc>
        <w:tc>
          <w:tcPr>
            <w:tcW w:w="2456" w:type="dxa"/>
            <w:gridSpan w:val="2"/>
            <w:vAlign w:val="center"/>
          </w:tcPr>
          <w:p>
            <w:pPr>
              <w:spacing w:after="0" w:line="240" w:lineRule="auto"/>
              <w:jc w:val="left"/>
              <w:rPr>
                <w:rFonts w:ascii="KaiTi_GB2312" w:eastAsia="KaiTi_GB2312"/>
                <w:highlight w:val="none"/>
              </w:rPr>
            </w:pPr>
            <w:r>
              <w:rPr>
                <w:rFonts w:hint="eastAsia" w:ascii="KaiTi_GB2312" w:eastAsia="KaiTi_GB2312"/>
                <w:highlight w:val="none"/>
              </w:rPr>
              <w:t>□属实</w:t>
            </w:r>
          </w:p>
          <w:p>
            <w:pPr>
              <w:spacing w:after="0" w:line="240" w:lineRule="auto"/>
              <w:rPr>
                <w:rFonts w:eastAsia="KaiTi_GB2312"/>
                <w:highlight w:val="none"/>
              </w:rPr>
            </w:pPr>
            <w:r>
              <w:rPr>
                <w:rFonts w:hint="eastAsia" w:ascii="KaiTi_GB2312" w:eastAsia="KaiTi_GB2312"/>
                <w:highlight w:val="none"/>
              </w:rPr>
              <w:t>□不属实</w:t>
            </w:r>
          </w:p>
        </w:tc>
        <w:tc>
          <w:tcPr>
            <w:tcW w:w="3461" w:type="dxa"/>
            <w:gridSpan w:val="2"/>
            <w:vAlign w:val="center"/>
          </w:tcPr>
          <w:p>
            <w:pPr>
              <w:widowControl/>
              <w:spacing w:after="0" w:line="240" w:lineRule="auto"/>
              <w:jc w:val="center"/>
              <w:rPr>
                <w:rFonts w:ascii="KaiTi_GB2312" w:eastAsia="KaiTi_GB2312"/>
                <w:highlight w:val="none"/>
              </w:rPr>
            </w:pPr>
            <w:r>
              <w:rPr>
                <w:rFonts w:ascii="KaiTi_GB2312" w:eastAsia="KaiTi_GB2312"/>
                <w:highlight w:val="none"/>
              </w:rPr>
              <w:t>执业单位（机构）</w:t>
            </w:r>
            <w:r>
              <w:rPr>
                <w:rFonts w:hint="eastAsia" w:ascii="KaiTi_GB2312" w:eastAsia="KaiTi_GB2312"/>
                <w:highlight w:val="none"/>
              </w:rPr>
              <w:t>负责人签字（公章）</w:t>
            </w:r>
          </w:p>
        </w:tc>
        <w:tc>
          <w:tcPr>
            <w:tcW w:w="5927" w:type="dxa"/>
            <w:gridSpan w:val="5"/>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405" w:type="dxa"/>
            <w:gridSpan w:val="6"/>
            <w:vAlign w:val="center"/>
          </w:tcPr>
          <w:p>
            <w:pPr>
              <w:spacing w:after="0" w:line="240" w:lineRule="auto"/>
              <w:rPr>
                <w:rFonts w:ascii="华文中宋" w:hAnsi="华文中宋" w:eastAsia="华文中宋"/>
                <w:b/>
                <w:highlight w:val="none"/>
              </w:rPr>
            </w:pPr>
            <w:r>
              <w:rPr>
                <w:rFonts w:hint="eastAsia" w:ascii="华文中宋" w:hAnsi="华文中宋" w:eastAsia="华文中宋"/>
                <w:b/>
                <w:highlight w:val="none"/>
              </w:rPr>
              <w:t>本人承诺：本人已阅读并了解本年度学校职称评审的有关通知和文件精神，对上述填写的内容及提供的所有材料真实性负责。</w:t>
            </w:r>
          </w:p>
        </w:tc>
        <w:tc>
          <w:tcPr>
            <w:tcW w:w="1732" w:type="dxa"/>
            <w:gridSpan w:val="2"/>
            <w:vAlign w:val="center"/>
          </w:tcPr>
          <w:p>
            <w:pPr>
              <w:spacing w:after="0" w:line="240" w:lineRule="auto"/>
              <w:jc w:val="center"/>
              <w:rPr>
                <w:rFonts w:ascii="KaiTi_GB2312" w:eastAsia="KaiTi_GB2312"/>
                <w:highlight w:val="none"/>
              </w:rPr>
            </w:pPr>
            <w:r>
              <w:rPr>
                <w:rFonts w:hint="eastAsia" w:ascii="KaiTi_GB2312" w:eastAsia="KaiTi_GB2312"/>
                <w:highlight w:val="none"/>
              </w:rPr>
              <w:t>本人签名</w:t>
            </w:r>
          </w:p>
          <w:p>
            <w:pPr>
              <w:spacing w:after="0" w:line="240" w:lineRule="auto"/>
              <w:jc w:val="center"/>
              <w:rPr>
                <w:rFonts w:ascii="KaiTi_GB2312" w:eastAsia="KaiTi_GB2312"/>
                <w:highlight w:val="none"/>
              </w:rPr>
            </w:pPr>
            <w:r>
              <w:rPr>
                <w:rFonts w:hint="eastAsia" w:ascii="KaiTi_GB2312" w:eastAsia="KaiTi_GB2312"/>
                <w:highlight w:val="none"/>
              </w:rPr>
              <w:t>（手写、不得打印）</w:t>
            </w:r>
          </w:p>
        </w:tc>
        <w:tc>
          <w:tcPr>
            <w:tcW w:w="4195" w:type="dxa"/>
            <w:gridSpan w:val="3"/>
            <w:vAlign w:val="center"/>
          </w:tcPr>
          <w:p>
            <w:pPr>
              <w:spacing w:after="0" w:line="240" w:lineRule="auto"/>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405" w:type="dxa"/>
            <w:gridSpan w:val="6"/>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所在单位（部门）审查意见</w:t>
            </w:r>
          </w:p>
          <w:p>
            <w:pPr>
              <w:adjustRightInd w:val="0"/>
              <w:snapToGrid w:val="0"/>
              <w:spacing w:after="0" w:line="240" w:lineRule="auto"/>
              <w:rPr>
                <w:rFonts w:ascii="KaiTi_GB2312" w:eastAsia="KaiTi_GB2312"/>
                <w:highlight w:val="none"/>
              </w:rPr>
            </w:pPr>
            <w:r>
              <w:rPr>
                <w:rFonts w:hint="eastAsia" w:ascii="KaiTi_GB2312" w:eastAsia="KaiTi_GB2312"/>
                <w:highlight w:val="none"/>
              </w:rPr>
              <w:t>（就上述填写的内容及提供的所有材料是否属实、是否符合申报条件等情况签署意见）</w:t>
            </w:r>
          </w:p>
        </w:tc>
        <w:tc>
          <w:tcPr>
            <w:tcW w:w="1732" w:type="dxa"/>
            <w:gridSpan w:val="2"/>
            <w:vAlign w:val="center"/>
          </w:tcPr>
          <w:p>
            <w:pPr>
              <w:widowControl/>
              <w:spacing w:after="0" w:line="240" w:lineRule="auto"/>
              <w:rPr>
                <w:rFonts w:ascii="KaiTi_GB2312" w:eastAsia="KaiTi_GB2312"/>
                <w:highlight w:val="none"/>
              </w:rPr>
            </w:pPr>
            <w:r>
              <w:rPr>
                <w:rFonts w:hint="eastAsia" w:ascii="KaiTi_GB2312" w:eastAsia="KaiTi_GB2312"/>
                <w:highlight w:val="none"/>
              </w:rPr>
              <w:t xml:space="preserve">□符合 </w:t>
            </w:r>
          </w:p>
          <w:p>
            <w:pPr>
              <w:widowControl/>
              <w:spacing w:after="0" w:line="240" w:lineRule="auto"/>
              <w:rPr>
                <w:rFonts w:ascii="KaiTi_GB2312" w:eastAsia="KaiTi_GB2312"/>
                <w:highlight w:val="none"/>
              </w:rPr>
            </w:pPr>
            <w:r>
              <w:rPr>
                <w:rFonts w:hint="eastAsia" w:ascii="KaiTi_GB2312" w:eastAsia="KaiTi_GB2312"/>
                <w:highlight w:val="none"/>
              </w:rPr>
              <w:t>□不符合</w:t>
            </w:r>
          </w:p>
        </w:tc>
        <w:tc>
          <w:tcPr>
            <w:tcW w:w="4195" w:type="dxa"/>
            <w:gridSpan w:val="3"/>
          </w:tcPr>
          <w:p>
            <w:pPr>
              <w:spacing w:after="0" w:line="240" w:lineRule="auto"/>
              <w:jc w:val="left"/>
              <w:rPr>
                <w:rFonts w:ascii="KaiTi_GB2312" w:eastAsia="KaiTi_GB2312"/>
                <w:highlight w:val="none"/>
              </w:rPr>
            </w:pPr>
            <w:r>
              <w:rPr>
                <w:rFonts w:hint="eastAsia" w:ascii="KaiTi_GB2312" w:eastAsia="KaiTi_GB2312"/>
                <w:highlight w:val="none"/>
              </w:rPr>
              <w:t>单位（部门）主要</w:t>
            </w:r>
          </w:p>
          <w:p>
            <w:pPr>
              <w:spacing w:after="0" w:line="240" w:lineRule="auto"/>
              <w:jc w:val="left"/>
              <w:rPr>
                <w:rFonts w:ascii="KaiTi_GB2312" w:eastAsia="KaiTi_GB2312"/>
                <w:highlight w:val="none"/>
              </w:rPr>
            </w:pPr>
            <w:r>
              <w:rPr>
                <w:rFonts w:hint="eastAsia" w:ascii="KaiTi_GB2312" w:eastAsia="KaiTi_GB2312"/>
                <w:highlight w:val="none"/>
              </w:rPr>
              <w:t>负责人签名/日期：</w:t>
            </w:r>
          </w:p>
        </w:tc>
      </w:tr>
    </w:tbl>
    <w:p>
      <w:pPr>
        <w:spacing w:after="0" w:line="20" w:lineRule="exact"/>
        <w:rPr>
          <w:rFonts w:ascii="KaiTi_GB2312" w:eastAsia="KaiTi_GB2312"/>
          <w:sz w:val="2"/>
          <w:szCs w:val="2"/>
          <w:highlight w:val="none"/>
        </w:rPr>
      </w:pPr>
    </w:p>
    <w:p>
      <w:pPr>
        <w:spacing w:after="0" w:line="280" w:lineRule="exact"/>
        <w:rPr>
          <w:rFonts w:hint="eastAsia" w:ascii="黑体" w:hAnsi="黑体" w:eastAsia="黑体"/>
          <w:spacing w:val="-11"/>
          <w:highlight w:val="none"/>
          <w:lang w:eastAsia="zh-CN"/>
        </w:rPr>
      </w:pPr>
      <w:r>
        <w:rPr>
          <w:rFonts w:hint="eastAsia" w:ascii="黑体" w:hAnsi="黑体" w:eastAsia="黑体"/>
          <w:spacing w:val="-11"/>
          <w:highlight w:val="none"/>
          <w:lang w:val="en-US" w:eastAsia="zh-CN"/>
        </w:rPr>
        <w:t>说明：1.</w:t>
      </w:r>
      <w:r>
        <w:rPr>
          <w:rFonts w:hint="eastAsia" w:ascii="黑体" w:hAnsi="黑体" w:eastAsia="黑体"/>
          <w:spacing w:val="-11"/>
          <w:highlight w:val="none"/>
        </w:rPr>
        <w:t>申报人不得改变表格主要格式和栏目，以保持审查表的完整性；除审核栏及签名栏外，其余栏目手写无效</w:t>
      </w:r>
      <w:r>
        <w:rPr>
          <w:rFonts w:hint="eastAsia" w:ascii="黑体" w:hAnsi="黑体" w:eastAsia="黑体"/>
          <w:spacing w:val="-11"/>
          <w:highlight w:val="none"/>
          <w:lang w:eastAsia="zh-CN"/>
        </w:rPr>
        <w:t>；</w:t>
      </w:r>
    </w:p>
    <w:p>
      <w:pPr>
        <w:spacing w:after="0" w:line="280" w:lineRule="exact"/>
        <w:rPr>
          <w:rFonts w:ascii="黑体" w:hAnsi="黑体" w:eastAsia="黑体"/>
          <w:sz w:val="18"/>
          <w:szCs w:val="21"/>
          <w:highlight w:val="yellow"/>
        </w:rPr>
      </w:pPr>
      <w:r>
        <w:rPr>
          <w:rFonts w:hint="eastAsia" w:ascii="黑体" w:hAnsi="黑体" w:eastAsia="黑体"/>
          <w:spacing w:val="-11"/>
          <w:highlight w:val="none"/>
          <w:lang w:val="en-US" w:eastAsia="zh-CN"/>
        </w:rPr>
        <w:t xml:space="preserve">       2.</w:t>
      </w:r>
      <w:r>
        <w:rPr>
          <w:rFonts w:hint="eastAsia" w:ascii="黑体" w:hAnsi="黑体" w:eastAsia="黑体"/>
          <w:spacing w:val="-11"/>
          <w:highlight w:val="none"/>
        </w:rPr>
        <w:t>申报者在填写研究成果、获奖及荣誉称号时 ，应根据真实情况如实列明本人在所有承担人（发明人、完成人或获奖人）中的排名情况。</w:t>
      </w:r>
    </w:p>
    <w:sectPr>
      <w:footerReference r:id="rId5" w:type="default"/>
      <w:pgSz w:w="16838" w:h="11906" w:orient="landscape"/>
      <w:pgMar w:top="1474" w:right="1361" w:bottom="1474" w:left="1361" w:header="851" w:footer="720"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KaiTi_GB2312">
    <w:altName w:val="楷体"/>
    <w:panose1 w:val="02010609060101010101"/>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rPr>
      <w:t>4</w:t>
    </w:r>
    <w:r>
      <w:fldChar w:fldCharType="end"/>
    </w:r>
  </w:p>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0NmRhYTAyODAzZjYyZTk2MGIzMDlhOGQzNzVlMDEifQ=="/>
  </w:docVars>
  <w:rsids>
    <w:rsidRoot w:val="00511371"/>
    <w:rsid w:val="00000874"/>
    <w:rsid w:val="00010A83"/>
    <w:rsid w:val="00021FEC"/>
    <w:rsid w:val="000232EB"/>
    <w:rsid w:val="000328D2"/>
    <w:rsid w:val="000373E3"/>
    <w:rsid w:val="00037729"/>
    <w:rsid w:val="00043F25"/>
    <w:rsid w:val="000441A7"/>
    <w:rsid w:val="0004648B"/>
    <w:rsid w:val="000534D7"/>
    <w:rsid w:val="000568FE"/>
    <w:rsid w:val="00056E46"/>
    <w:rsid w:val="00061040"/>
    <w:rsid w:val="00065B8D"/>
    <w:rsid w:val="00072781"/>
    <w:rsid w:val="0007681C"/>
    <w:rsid w:val="00077369"/>
    <w:rsid w:val="000774DC"/>
    <w:rsid w:val="000819CF"/>
    <w:rsid w:val="00082F07"/>
    <w:rsid w:val="00086E7E"/>
    <w:rsid w:val="00087722"/>
    <w:rsid w:val="00087B08"/>
    <w:rsid w:val="0009083D"/>
    <w:rsid w:val="00094DE4"/>
    <w:rsid w:val="000A6F7E"/>
    <w:rsid w:val="000A7A49"/>
    <w:rsid w:val="000B11C8"/>
    <w:rsid w:val="000B3ED9"/>
    <w:rsid w:val="000B55CC"/>
    <w:rsid w:val="000C042A"/>
    <w:rsid w:val="000C21D8"/>
    <w:rsid w:val="000C2BCA"/>
    <w:rsid w:val="000C73D2"/>
    <w:rsid w:val="000D0F85"/>
    <w:rsid w:val="000E0757"/>
    <w:rsid w:val="000E079C"/>
    <w:rsid w:val="000E0F29"/>
    <w:rsid w:val="000E4B11"/>
    <w:rsid w:val="000F15C9"/>
    <w:rsid w:val="000F1602"/>
    <w:rsid w:val="000F20FF"/>
    <w:rsid w:val="000F3651"/>
    <w:rsid w:val="000F5184"/>
    <w:rsid w:val="000F652B"/>
    <w:rsid w:val="00100B30"/>
    <w:rsid w:val="0010203A"/>
    <w:rsid w:val="00102877"/>
    <w:rsid w:val="001034D5"/>
    <w:rsid w:val="001153C3"/>
    <w:rsid w:val="00117E63"/>
    <w:rsid w:val="0012306F"/>
    <w:rsid w:val="00124981"/>
    <w:rsid w:val="001302C2"/>
    <w:rsid w:val="00142331"/>
    <w:rsid w:val="00146EBD"/>
    <w:rsid w:val="00150BBE"/>
    <w:rsid w:val="001528B0"/>
    <w:rsid w:val="00152CAB"/>
    <w:rsid w:val="0015517C"/>
    <w:rsid w:val="001568A7"/>
    <w:rsid w:val="00157D00"/>
    <w:rsid w:val="00164B83"/>
    <w:rsid w:val="001711EF"/>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32ACF"/>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5B66"/>
    <w:rsid w:val="0027630F"/>
    <w:rsid w:val="00280115"/>
    <w:rsid w:val="00285283"/>
    <w:rsid w:val="00291076"/>
    <w:rsid w:val="002925F8"/>
    <w:rsid w:val="00293ABB"/>
    <w:rsid w:val="0029483A"/>
    <w:rsid w:val="00296A39"/>
    <w:rsid w:val="002A31AC"/>
    <w:rsid w:val="002A6512"/>
    <w:rsid w:val="002B3DB0"/>
    <w:rsid w:val="002C7147"/>
    <w:rsid w:val="002C7227"/>
    <w:rsid w:val="002D3008"/>
    <w:rsid w:val="002D32D4"/>
    <w:rsid w:val="002D5D0B"/>
    <w:rsid w:val="002D747A"/>
    <w:rsid w:val="002D7E84"/>
    <w:rsid w:val="002E2257"/>
    <w:rsid w:val="002E3C61"/>
    <w:rsid w:val="002E599C"/>
    <w:rsid w:val="002F307F"/>
    <w:rsid w:val="002F38FA"/>
    <w:rsid w:val="002F5E17"/>
    <w:rsid w:val="00301830"/>
    <w:rsid w:val="00311798"/>
    <w:rsid w:val="003142D7"/>
    <w:rsid w:val="0032036F"/>
    <w:rsid w:val="0032085A"/>
    <w:rsid w:val="003319F9"/>
    <w:rsid w:val="003325BA"/>
    <w:rsid w:val="0033572A"/>
    <w:rsid w:val="00335738"/>
    <w:rsid w:val="00343C9B"/>
    <w:rsid w:val="00344F61"/>
    <w:rsid w:val="003466D6"/>
    <w:rsid w:val="00346A80"/>
    <w:rsid w:val="003477AA"/>
    <w:rsid w:val="00351B9B"/>
    <w:rsid w:val="003539A1"/>
    <w:rsid w:val="00361B00"/>
    <w:rsid w:val="0036282B"/>
    <w:rsid w:val="00380681"/>
    <w:rsid w:val="003829E8"/>
    <w:rsid w:val="003830E4"/>
    <w:rsid w:val="00384D03"/>
    <w:rsid w:val="003A17A6"/>
    <w:rsid w:val="003A7935"/>
    <w:rsid w:val="003B04EC"/>
    <w:rsid w:val="003B1714"/>
    <w:rsid w:val="003B5178"/>
    <w:rsid w:val="003C36D6"/>
    <w:rsid w:val="003C4B7B"/>
    <w:rsid w:val="003C58F0"/>
    <w:rsid w:val="003C7362"/>
    <w:rsid w:val="003C7FB1"/>
    <w:rsid w:val="003D3D97"/>
    <w:rsid w:val="003D4B6E"/>
    <w:rsid w:val="003D7CD6"/>
    <w:rsid w:val="003E35A5"/>
    <w:rsid w:val="003F1C32"/>
    <w:rsid w:val="003F342F"/>
    <w:rsid w:val="003F46C0"/>
    <w:rsid w:val="003F4D93"/>
    <w:rsid w:val="003F7BE5"/>
    <w:rsid w:val="00403088"/>
    <w:rsid w:val="004103FD"/>
    <w:rsid w:val="0042017D"/>
    <w:rsid w:val="00423809"/>
    <w:rsid w:val="00430705"/>
    <w:rsid w:val="00432C5F"/>
    <w:rsid w:val="00437743"/>
    <w:rsid w:val="00440FCD"/>
    <w:rsid w:val="00443761"/>
    <w:rsid w:val="00444D81"/>
    <w:rsid w:val="00460B7F"/>
    <w:rsid w:val="00462E62"/>
    <w:rsid w:val="0046681C"/>
    <w:rsid w:val="00467F46"/>
    <w:rsid w:val="004710C1"/>
    <w:rsid w:val="00473EA1"/>
    <w:rsid w:val="00476C9C"/>
    <w:rsid w:val="00476CC7"/>
    <w:rsid w:val="00480BA9"/>
    <w:rsid w:val="00482221"/>
    <w:rsid w:val="0048660D"/>
    <w:rsid w:val="00487446"/>
    <w:rsid w:val="00493170"/>
    <w:rsid w:val="004A0800"/>
    <w:rsid w:val="004A34A2"/>
    <w:rsid w:val="004B5854"/>
    <w:rsid w:val="004B66BD"/>
    <w:rsid w:val="004B6DCF"/>
    <w:rsid w:val="004C31D7"/>
    <w:rsid w:val="004C35FC"/>
    <w:rsid w:val="004C442E"/>
    <w:rsid w:val="004C4577"/>
    <w:rsid w:val="004C4A89"/>
    <w:rsid w:val="004D4735"/>
    <w:rsid w:val="004D4E27"/>
    <w:rsid w:val="004D71C2"/>
    <w:rsid w:val="004E258C"/>
    <w:rsid w:val="004E46C1"/>
    <w:rsid w:val="004E509F"/>
    <w:rsid w:val="004E6994"/>
    <w:rsid w:val="004F1053"/>
    <w:rsid w:val="00501B83"/>
    <w:rsid w:val="00502A3D"/>
    <w:rsid w:val="00503331"/>
    <w:rsid w:val="0050413F"/>
    <w:rsid w:val="00507F2F"/>
    <w:rsid w:val="005108F5"/>
    <w:rsid w:val="00511279"/>
    <w:rsid w:val="00511371"/>
    <w:rsid w:val="00513713"/>
    <w:rsid w:val="00521849"/>
    <w:rsid w:val="005241D9"/>
    <w:rsid w:val="005256D8"/>
    <w:rsid w:val="00527226"/>
    <w:rsid w:val="00531A3E"/>
    <w:rsid w:val="005401B2"/>
    <w:rsid w:val="00540CBA"/>
    <w:rsid w:val="00541FBE"/>
    <w:rsid w:val="0054617A"/>
    <w:rsid w:val="00550056"/>
    <w:rsid w:val="00550230"/>
    <w:rsid w:val="00556CCC"/>
    <w:rsid w:val="00560A50"/>
    <w:rsid w:val="005623CE"/>
    <w:rsid w:val="0056546A"/>
    <w:rsid w:val="0057283D"/>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E2903"/>
    <w:rsid w:val="005E5B03"/>
    <w:rsid w:val="005E7AC7"/>
    <w:rsid w:val="005F0E1E"/>
    <w:rsid w:val="005F2320"/>
    <w:rsid w:val="005F416E"/>
    <w:rsid w:val="00600BD7"/>
    <w:rsid w:val="00601B10"/>
    <w:rsid w:val="00601B8D"/>
    <w:rsid w:val="0060309B"/>
    <w:rsid w:val="0060483A"/>
    <w:rsid w:val="006067E6"/>
    <w:rsid w:val="00611F08"/>
    <w:rsid w:val="00613939"/>
    <w:rsid w:val="00615E50"/>
    <w:rsid w:val="00622A58"/>
    <w:rsid w:val="00627FE1"/>
    <w:rsid w:val="00630191"/>
    <w:rsid w:val="00633431"/>
    <w:rsid w:val="00640F93"/>
    <w:rsid w:val="0064319C"/>
    <w:rsid w:val="00643A38"/>
    <w:rsid w:val="00646919"/>
    <w:rsid w:val="006475AA"/>
    <w:rsid w:val="006524EE"/>
    <w:rsid w:val="00657EAE"/>
    <w:rsid w:val="00663456"/>
    <w:rsid w:val="0066481B"/>
    <w:rsid w:val="00665438"/>
    <w:rsid w:val="00665866"/>
    <w:rsid w:val="0067234A"/>
    <w:rsid w:val="0068050C"/>
    <w:rsid w:val="006864D2"/>
    <w:rsid w:val="006939BA"/>
    <w:rsid w:val="006942D1"/>
    <w:rsid w:val="00695F08"/>
    <w:rsid w:val="006A3FD1"/>
    <w:rsid w:val="006B0119"/>
    <w:rsid w:val="006C04CA"/>
    <w:rsid w:val="006C1011"/>
    <w:rsid w:val="006C3BE3"/>
    <w:rsid w:val="006E00A6"/>
    <w:rsid w:val="006E36AA"/>
    <w:rsid w:val="006F0466"/>
    <w:rsid w:val="006F1781"/>
    <w:rsid w:val="006F297D"/>
    <w:rsid w:val="006F4630"/>
    <w:rsid w:val="006F5F0E"/>
    <w:rsid w:val="00701A75"/>
    <w:rsid w:val="0070358F"/>
    <w:rsid w:val="00704C2A"/>
    <w:rsid w:val="00707838"/>
    <w:rsid w:val="0071159E"/>
    <w:rsid w:val="00714A16"/>
    <w:rsid w:val="00720C54"/>
    <w:rsid w:val="0072772E"/>
    <w:rsid w:val="00731BB2"/>
    <w:rsid w:val="00742142"/>
    <w:rsid w:val="007454A6"/>
    <w:rsid w:val="00745A79"/>
    <w:rsid w:val="007576EA"/>
    <w:rsid w:val="0077131F"/>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36B2"/>
    <w:rsid w:val="007F634F"/>
    <w:rsid w:val="008010FB"/>
    <w:rsid w:val="00814577"/>
    <w:rsid w:val="00815E2C"/>
    <w:rsid w:val="00824015"/>
    <w:rsid w:val="00824B49"/>
    <w:rsid w:val="008271CD"/>
    <w:rsid w:val="00830652"/>
    <w:rsid w:val="008371A6"/>
    <w:rsid w:val="00841845"/>
    <w:rsid w:val="00842959"/>
    <w:rsid w:val="0084732F"/>
    <w:rsid w:val="008509F9"/>
    <w:rsid w:val="00861D39"/>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F37"/>
    <w:rsid w:val="008B0EEE"/>
    <w:rsid w:val="008B15CC"/>
    <w:rsid w:val="008B5388"/>
    <w:rsid w:val="008C16FD"/>
    <w:rsid w:val="008D0793"/>
    <w:rsid w:val="008D310B"/>
    <w:rsid w:val="008D66D9"/>
    <w:rsid w:val="008D6872"/>
    <w:rsid w:val="008F0A75"/>
    <w:rsid w:val="008F4333"/>
    <w:rsid w:val="008F701B"/>
    <w:rsid w:val="00907CBA"/>
    <w:rsid w:val="009121CE"/>
    <w:rsid w:val="00915D6E"/>
    <w:rsid w:val="00916ADC"/>
    <w:rsid w:val="009272A9"/>
    <w:rsid w:val="00927490"/>
    <w:rsid w:val="009277FA"/>
    <w:rsid w:val="00940953"/>
    <w:rsid w:val="00943F5E"/>
    <w:rsid w:val="00953352"/>
    <w:rsid w:val="009567C4"/>
    <w:rsid w:val="00960561"/>
    <w:rsid w:val="00964E2F"/>
    <w:rsid w:val="00970ECB"/>
    <w:rsid w:val="00980BDD"/>
    <w:rsid w:val="00982D2B"/>
    <w:rsid w:val="00982FB1"/>
    <w:rsid w:val="00985846"/>
    <w:rsid w:val="009902CD"/>
    <w:rsid w:val="00993A64"/>
    <w:rsid w:val="009A141B"/>
    <w:rsid w:val="009A39C5"/>
    <w:rsid w:val="009A7B6C"/>
    <w:rsid w:val="009A7E4C"/>
    <w:rsid w:val="009C07F7"/>
    <w:rsid w:val="009C09F3"/>
    <w:rsid w:val="009C3DD5"/>
    <w:rsid w:val="009D2532"/>
    <w:rsid w:val="009D263B"/>
    <w:rsid w:val="009D4B82"/>
    <w:rsid w:val="009D531F"/>
    <w:rsid w:val="009D7207"/>
    <w:rsid w:val="009E49F7"/>
    <w:rsid w:val="009E76FB"/>
    <w:rsid w:val="009F041E"/>
    <w:rsid w:val="00A033E7"/>
    <w:rsid w:val="00A11E3E"/>
    <w:rsid w:val="00A13D9D"/>
    <w:rsid w:val="00A16376"/>
    <w:rsid w:val="00A27A3D"/>
    <w:rsid w:val="00A30FE1"/>
    <w:rsid w:val="00A32C64"/>
    <w:rsid w:val="00A34F3A"/>
    <w:rsid w:val="00A365BC"/>
    <w:rsid w:val="00A45758"/>
    <w:rsid w:val="00A47A46"/>
    <w:rsid w:val="00A5594A"/>
    <w:rsid w:val="00A56347"/>
    <w:rsid w:val="00A5704E"/>
    <w:rsid w:val="00A62C68"/>
    <w:rsid w:val="00A71318"/>
    <w:rsid w:val="00A737F6"/>
    <w:rsid w:val="00A8289E"/>
    <w:rsid w:val="00A84A42"/>
    <w:rsid w:val="00A87ED6"/>
    <w:rsid w:val="00A95FDF"/>
    <w:rsid w:val="00A96FC6"/>
    <w:rsid w:val="00A97713"/>
    <w:rsid w:val="00AA14ED"/>
    <w:rsid w:val="00AA17FD"/>
    <w:rsid w:val="00AB26D0"/>
    <w:rsid w:val="00AC080F"/>
    <w:rsid w:val="00AC6345"/>
    <w:rsid w:val="00AD1FA5"/>
    <w:rsid w:val="00AD57E8"/>
    <w:rsid w:val="00AD7F59"/>
    <w:rsid w:val="00AE2757"/>
    <w:rsid w:val="00AE2F5F"/>
    <w:rsid w:val="00AF0046"/>
    <w:rsid w:val="00AF3CB6"/>
    <w:rsid w:val="00AF6820"/>
    <w:rsid w:val="00AF6879"/>
    <w:rsid w:val="00B03101"/>
    <w:rsid w:val="00B0328F"/>
    <w:rsid w:val="00B062AA"/>
    <w:rsid w:val="00B067D0"/>
    <w:rsid w:val="00B07798"/>
    <w:rsid w:val="00B11A5B"/>
    <w:rsid w:val="00B12C5B"/>
    <w:rsid w:val="00B21BC3"/>
    <w:rsid w:val="00B3399A"/>
    <w:rsid w:val="00B45B4E"/>
    <w:rsid w:val="00B55EF6"/>
    <w:rsid w:val="00B61EBE"/>
    <w:rsid w:val="00B62295"/>
    <w:rsid w:val="00B65C96"/>
    <w:rsid w:val="00B6686E"/>
    <w:rsid w:val="00B71ED5"/>
    <w:rsid w:val="00B77C70"/>
    <w:rsid w:val="00B8168C"/>
    <w:rsid w:val="00B81FED"/>
    <w:rsid w:val="00B82A60"/>
    <w:rsid w:val="00B91D89"/>
    <w:rsid w:val="00B96847"/>
    <w:rsid w:val="00B9778E"/>
    <w:rsid w:val="00BA126C"/>
    <w:rsid w:val="00BA64A7"/>
    <w:rsid w:val="00BB1FC8"/>
    <w:rsid w:val="00BB62D1"/>
    <w:rsid w:val="00BB6A26"/>
    <w:rsid w:val="00BB7563"/>
    <w:rsid w:val="00BC2C49"/>
    <w:rsid w:val="00BC5A57"/>
    <w:rsid w:val="00BC7643"/>
    <w:rsid w:val="00BD0426"/>
    <w:rsid w:val="00BD3548"/>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4C21"/>
    <w:rsid w:val="00C34F4A"/>
    <w:rsid w:val="00C35D0B"/>
    <w:rsid w:val="00C43C33"/>
    <w:rsid w:val="00C51396"/>
    <w:rsid w:val="00C52B91"/>
    <w:rsid w:val="00C54416"/>
    <w:rsid w:val="00C5512F"/>
    <w:rsid w:val="00C5682C"/>
    <w:rsid w:val="00C613E0"/>
    <w:rsid w:val="00C658EB"/>
    <w:rsid w:val="00C661E3"/>
    <w:rsid w:val="00C802C4"/>
    <w:rsid w:val="00C878F8"/>
    <w:rsid w:val="00C96D41"/>
    <w:rsid w:val="00CA0B20"/>
    <w:rsid w:val="00CA54D6"/>
    <w:rsid w:val="00CA685E"/>
    <w:rsid w:val="00CB3E6F"/>
    <w:rsid w:val="00CB5F39"/>
    <w:rsid w:val="00CB615A"/>
    <w:rsid w:val="00CC0477"/>
    <w:rsid w:val="00CC0BFC"/>
    <w:rsid w:val="00CD5290"/>
    <w:rsid w:val="00CE13E1"/>
    <w:rsid w:val="00CE4F3D"/>
    <w:rsid w:val="00CE574C"/>
    <w:rsid w:val="00CF0321"/>
    <w:rsid w:val="00CF3F8E"/>
    <w:rsid w:val="00D027BA"/>
    <w:rsid w:val="00D057B4"/>
    <w:rsid w:val="00D06B5E"/>
    <w:rsid w:val="00D124AD"/>
    <w:rsid w:val="00D148D7"/>
    <w:rsid w:val="00D17E5B"/>
    <w:rsid w:val="00D22F4E"/>
    <w:rsid w:val="00D2744E"/>
    <w:rsid w:val="00D31460"/>
    <w:rsid w:val="00D323AA"/>
    <w:rsid w:val="00D33A7D"/>
    <w:rsid w:val="00D35935"/>
    <w:rsid w:val="00D3716E"/>
    <w:rsid w:val="00D3771D"/>
    <w:rsid w:val="00D37CAF"/>
    <w:rsid w:val="00D404F3"/>
    <w:rsid w:val="00D4159D"/>
    <w:rsid w:val="00D42472"/>
    <w:rsid w:val="00D43C3B"/>
    <w:rsid w:val="00D47E1A"/>
    <w:rsid w:val="00D50059"/>
    <w:rsid w:val="00D536E1"/>
    <w:rsid w:val="00D54B95"/>
    <w:rsid w:val="00D559A1"/>
    <w:rsid w:val="00D60A9B"/>
    <w:rsid w:val="00D64F85"/>
    <w:rsid w:val="00D65442"/>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37D"/>
    <w:rsid w:val="00DC3C8F"/>
    <w:rsid w:val="00DD2F1B"/>
    <w:rsid w:val="00DD60A3"/>
    <w:rsid w:val="00DE09EC"/>
    <w:rsid w:val="00DF18B5"/>
    <w:rsid w:val="00DF3C92"/>
    <w:rsid w:val="00DF66AD"/>
    <w:rsid w:val="00DF7A4C"/>
    <w:rsid w:val="00E021F7"/>
    <w:rsid w:val="00E02E95"/>
    <w:rsid w:val="00E15413"/>
    <w:rsid w:val="00E22D03"/>
    <w:rsid w:val="00E24743"/>
    <w:rsid w:val="00E35C06"/>
    <w:rsid w:val="00E45DCB"/>
    <w:rsid w:val="00E47727"/>
    <w:rsid w:val="00E5188E"/>
    <w:rsid w:val="00E537C4"/>
    <w:rsid w:val="00E54C52"/>
    <w:rsid w:val="00E5725A"/>
    <w:rsid w:val="00E60B70"/>
    <w:rsid w:val="00E627F5"/>
    <w:rsid w:val="00E66B50"/>
    <w:rsid w:val="00E71A9D"/>
    <w:rsid w:val="00E71E16"/>
    <w:rsid w:val="00E72BF1"/>
    <w:rsid w:val="00E73E4B"/>
    <w:rsid w:val="00E85A84"/>
    <w:rsid w:val="00E939DB"/>
    <w:rsid w:val="00E94E20"/>
    <w:rsid w:val="00EA37DB"/>
    <w:rsid w:val="00EB0AFE"/>
    <w:rsid w:val="00EB0ED2"/>
    <w:rsid w:val="00EB25EA"/>
    <w:rsid w:val="00EC2CB8"/>
    <w:rsid w:val="00EC4E36"/>
    <w:rsid w:val="00ED2022"/>
    <w:rsid w:val="00ED214F"/>
    <w:rsid w:val="00ED3D1C"/>
    <w:rsid w:val="00ED4A32"/>
    <w:rsid w:val="00ED5A75"/>
    <w:rsid w:val="00EE2BB3"/>
    <w:rsid w:val="00EE5550"/>
    <w:rsid w:val="00EE6A7C"/>
    <w:rsid w:val="00EF77DB"/>
    <w:rsid w:val="00F03933"/>
    <w:rsid w:val="00F075DD"/>
    <w:rsid w:val="00F11D08"/>
    <w:rsid w:val="00F15E44"/>
    <w:rsid w:val="00F167F2"/>
    <w:rsid w:val="00F21842"/>
    <w:rsid w:val="00F21D69"/>
    <w:rsid w:val="00F2592E"/>
    <w:rsid w:val="00F33CD7"/>
    <w:rsid w:val="00F4272F"/>
    <w:rsid w:val="00F472BA"/>
    <w:rsid w:val="00F5140C"/>
    <w:rsid w:val="00F548D3"/>
    <w:rsid w:val="00F72CAA"/>
    <w:rsid w:val="00F778AE"/>
    <w:rsid w:val="00F77CB8"/>
    <w:rsid w:val="00F81442"/>
    <w:rsid w:val="00F818AD"/>
    <w:rsid w:val="00F81A5B"/>
    <w:rsid w:val="00F82233"/>
    <w:rsid w:val="00F862BC"/>
    <w:rsid w:val="00F902F6"/>
    <w:rsid w:val="00FA148B"/>
    <w:rsid w:val="00FA31C7"/>
    <w:rsid w:val="00FA6C7E"/>
    <w:rsid w:val="00FA74B0"/>
    <w:rsid w:val="00FB1D78"/>
    <w:rsid w:val="00FB31D4"/>
    <w:rsid w:val="00FB4144"/>
    <w:rsid w:val="00FB6B27"/>
    <w:rsid w:val="00FC22A8"/>
    <w:rsid w:val="00FC2D42"/>
    <w:rsid w:val="00FC414F"/>
    <w:rsid w:val="00FD079F"/>
    <w:rsid w:val="00FD1216"/>
    <w:rsid w:val="00FD31C6"/>
    <w:rsid w:val="00FD3772"/>
    <w:rsid w:val="00FE07A5"/>
    <w:rsid w:val="00FE1E43"/>
    <w:rsid w:val="00FE3E37"/>
    <w:rsid w:val="00FE71AB"/>
    <w:rsid w:val="00FF1B52"/>
    <w:rsid w:val="00FF57DA"/>
    <w:rsid w:val="01DD30A6"/>
    <w:rsid w:val="0237160E"/>
    <w:rsid w:val="0342540E"/>
    <w:rsid w:val="044200FD"/>
    <w:rsid w:val="04460D37"/>
    <w:rsid w:val="05183545"/>
    <w:rsid w:val="05673FB0"/>
    <w:rsid w:val="05744AE5"/>
    <w:rsid w:val="05B3223F"/>
    <w:rsid w:val="05E23CCE"/>
    <w:rsid w:val="05E253D7"/>
    <w:rsid w:val="06010068"/>
    <w:rsid w:val="06A0763D"/>
    <w:rsid w:val="07B11C6C"/>
    <w:rsid w:val="090537D6"/>
    <w:rsid w:val="09133BC6"/>
    <w:rsid w:val="096A659B"/>
    <w:rsid w:val="09AA1CCF"/>
    <w:rsid w:val="0A40191B"/>
    <w:rsid w:val="0A8A5E59"/>
    <w:rsid w:val="0BB8447D"/>
    <w:rsid w:val="0E3D2704"/>
    <w:rsid w:val="0F3A7115"/>
    <w:rsid w:val="0FCB4CF7"/>
    <w:rsid w:val="11C13A3E"/>
    <w:rsid w:val="153D4CB5"/>
    <w:rsid w:val="16B15FDF"/>
    <w:rsid w:val="19FA176A"/>
    <w:rsid w:val="1B0A3A5F"/>
    <w:rsid w:val="1C2A6A48"/>
    <w:rsid w:val="1CE367E1"/>
    <w:rsid w:val="1E0E09D1"/>
    <w:rsid w:val="1F585DA6"/>
    <w:rsid w:val="2168283E"/>
    <w:rsid w:val="21C653B6"/>
    <w:rsid w:val="21FA45E1"/>
    <w:rsid w:val="223D28BB"/>
    <w:rsid w:val="230A6224"/>
    <w:rsid w:val="27C153EF"/>
    <w:rsid w:val="27C86FF5"/>
    <w:rsid w:val="29317AB2"/>
    <w:rsid w:val="2BB4263A"/>
    <w:rsid w:val="2C72005E"/>
    <w:rsid w:val="30AC742E"/>
    <w:rsid w:val="312F1868"/>
    <w:rsid w:val="31407422"/>
    <w:rsid w:val="32416098"/>
    <w:rsid w:val="32E27594"/>
    <w:rsid w:val="332F73C6"/>
    <w:rsid w:val="33666E2C"/>
    <w:rsid w:val="344C595B"/>
    <w:rsid w:val="351F720E"/>
    <w:rsid w:val="355667E7"/>
    <w:rsid w:val="363F5855"/>
    <w:rsid w:val="37A725AE"/>
    <w:rsid w:val="39B7049B"/>
    <w:rsid w:val="3A581EFE"/>
    <w:rsid w:val="3F0E305B"/>
    <w:rsid w:val="401F76AD"/>
    <w:rsid w:val="40994E9A"/>
    <w:rsid w:val="41146BA0"/>
    <w:rsid w:val="413C2639"/>
    <w:rsid w:val="41A6718C"/>
    <w:rsid w:val="41FC2F29"/>
    <w:rsid w:val="44A5484E"/>
    <w:rsid w:val="44B6394B"/>
    <w:rsid w:val="44C714E1"/>
    <w:rsid w:val="44F3072F"/>
    <w:rsid w:val="459F708E"/>
    <w:rsid w:val="476129D5"/>
    <w:rsid w:val="48EF7A72"/>
    <w:rsid w:val="49FA24FE"/>
    <w:rsid w:val="4B48647C"/>
    <w:rsid w:val="4D03364C"/>
    <w:rsid w:val="4D160EFC"/>
    <w:rsid w:val="4E97263A"/>
    <w:rsid w:val="50851EF4"/>
    <w:rsid w:val="51F61C04"/>
    <w:rsid w:val="53746D1D"/>
    <w:rsid w:val="54D56E3A"/>
    <w:rsid w:val="551F1AD3"/>
    <w:rsid w:val="55CA48D5"/>
    <w:rsid w:val="56940424"/>
    <w:rsid w:val="57006BA1"/>
    <w:rsid w:val="57D93D89"/>
    <w:rsid w:val="5CA95708"/>
    <w:rsid w:val="5CE860A3"/>
    <w:rsid w:val="5D201440"/>
    <w:rsid w:val="5DAC4188"/>
    <w:rsid w:val="5DE74090"/>
    <w:rsid w:val="6015795B"/>
    <w:rsid w:val="604B5965"/>
    <w:rsid w:val="60AC302E"/>
    <w:rsid w:val="61087E26"/>
    <w:rsid w:val="64052BF6"/>
    <w:rsid w:val="658B1BFB"/>
    <w:rsid w:val="663E35DB"/>
    <w:rsid w:val="664264AE"/>
    <w:rsid w:val="66966C6B"/>
    <w:rsid w:val="6735657C"/>
    <w:rsid w:val="678B6CAB"/>
    <w:rsid w:val="67A83750"/>
    <w:rsid w:val="682F6D20"/>
    <w:rsid w:val="69885C17"/>
    <w:rsid w:val="6A8144D5"/>
    <w:rsid w:val="6B7C571A"/>
    <w:rsid w:val="6C67371B"/>
    <w:rsid w:val="6D800F2C"/>
    <w:rsid w:val="6ECD0DD4"/>
    <w:rsid w:val="6F291EA9"/>
    <w:rsid w:val="6FE26D19"/>
    <w:rsid w:val="706978FC"/>
    <w:rsid w:val="70713D71"/>
    <w:rsid w:val="70D4548B"/>
    <w:rsid w:val="71C654F9"/>
    <w:rsid w:val="71EF4234"/>
    <w:rsid w:val="71FF0F7D"/>
    <w:rsid w:val="73A001F1"/>
    <w:rsid w:val="741C4C2C"/>
    <w:rsid w:val="753217D6"/>
    <w:rsid w:val="76A3768D"/>
    <w:rsid w:val="78050629"/>
    <w:rsid w:val="783A1613"/>
    <w:rsid w:val="78DB2665"/>
    <w:rsid w:val="78FB3E2A"/>
    <w:rsid w:val="7AAE4BA6"/>
    <w:rsid w:val="7B2F4878"/>
    <w:rsid w:val="7BB35EC1"/>
    <w:rsid w:val="7D6708DB"/>
    <w:rsid w:val="7EA21B3B"/>
    <w:rsid w:val="7F7A1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semiHidden/>
    <w:qFormat/>
    <w:uiPriority w:val="0"/>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autoRedefine/>
    <w:qFormat/>
    <w:uiPriority w:val="0"/>
    <w:rPr>
      <w:color w:val="0000FF"/>
      <w:u w:val="single"/>
    </w:rPr>
  </w:style>
  <w:style w:type="character" w:customStyle="1" w:styleId="10">
    <w:name w:val="Footer Char"/>
    <w:link w:val="4"/>
    <w:autoRedefine/>
    <w:qFormat/>
    <w:uiPriority w:val="99"/>
    <w:rPr>
      <w:kern w:val="2"/>
      <w:sz w:val="18"/>
      <w:szCs w:val="18"/>
    </w:rPr>
  </w:style>
  <w:style w:type="character" w:customStyle="1" w:styleId="11">
    <w:name w:val="Header Char"/>
    <w:link w:val="5"/>
    <w:autoRedefine/>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njutcm</Company>
  <Pages>12</Pages>
  <Words>4276</Words>
  <Characters>5216</Characters>
  <Lines>21</Lines>
  <Paragraphs>5</Paragraphs>
  <TotalTime>1</TotalTime>
  <ScaleCrop>false</ScaleCrop>
  <LinksUpToDate>false</LinksUpToDate>
  <CharactersWithSpaces>5243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2020-10-16T12:45:00Z</dcterms:created>
  <dc:creator>yinzhongyong</dc:creator>
  <cp:lastModifiedBy>琼</cp:lastModifiedBy>
  <cp:lastPrinted>2024-05-26T09:49:00Z</cp:lastPrinted>
  <dcterms:modified xsi:type="dcterms:W3CDTF">2024-05-31T07:55:42Z</dcterms:modified>
  <dc:title>南京中医药大学专业技术职务评审资格审查表</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D0A6B353D28E484F9C5649B584534184_13</vt:lpwstr>
  </property>
  <property fmtid="{D5CDD505-2E9C-101B-9397-08002B2CF9AE}" pid="4" name="commondata">
    <vt:lpwstr>eyJoZGlkIjoiMTE3MTMxOTk0YmVmZWRkNDc0ZTBlMzUwNzg1ODM3MDIifQ==</vt:lpwstr>
  </property>
</Properties>
</file>